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49-1480 and 49-14,126,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Chinese military companies;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49-1480 (1)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shall, before commencing any lobbying activity: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Clerk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 lobbyist, and if the clerk is satisfied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has been properly prepared the registration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complete. The application shall be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and approved by the Executive Board of the Legislative Council,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as a minimum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and address of the principal of such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nature of the business of such principal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sums given or to be given the lobbyist as compensation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lobbying. A lobbyist who is salaried or retained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need only report that portion of compensation or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attributable to lobbying;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description of the business activity of the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identification of the matters on which the principal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expects to lobby;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If the principal is a Chinese military company,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by the lobbyist that such lobbyist is lobbying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and thereby acting as an agent of, a foreign adversary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If the principal is an industry, trade, or professional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specific description of the industry, trade, or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principal and the names and addresses of its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If the principal is not an industry, trade,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specific description of the interests and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principal and the names and addresses of its officers;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who are employed by the lobbyist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such lobbyist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have been known to the lobbyist.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such lobbying activity is on behalf of a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of the United States. For purposes of this subdivision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lobbying activity includes, but is not limited to, lobbying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telephone, electronic mail, United States mail or other mail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in-person meetings, or testimony at legislative hearings.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commission, information that shall include as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name and address of the Chinese military company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An identification of the matters on which the consultant expects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conduct influencing activity on behalf of such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An affirmative acknowledgment by the consultant that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 family, who are employed by the consultant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behalf of such consultant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have been known to the consultant;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adversary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purposes of this subsection, influencing activity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is not limited to, influencing by means of telephone,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mail, United States mail or other mail delivery service, or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subdivision (1)(a)(vi) or (1)(b)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subject to a civil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for each violation. For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violation, the civil penalty shall be increased by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more than the previously assessed penalty,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per violation. All penalties collected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Chinese military company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1260H of Public Law 116-283,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such section existed on April 1, 2025, and includes any subsidiary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Chinese military company or any company owned or controlled,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in part, by a Chinese military company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49-14,126,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49-14,126 (1) The commission, upon finding that there has been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Political Accountability and Disclosure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 or regulation promulgated thereunder, may issue an order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violator to do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Cease and desist from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any report, statement, or other information as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 a civil penalty of not more than 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violation of the act, rule, or regulation;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 the costs of the hearing in a contested case if the violator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did not appear at the hearing personally or by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Upon finding that there has been a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(1)(a)(vi) or (1)(b)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49-1480, the commission shall issue an order paying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provided the commission information that resulted in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violation a sum of fifty thousand dollars. Such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upon the commission recovering any civil penalty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49-1480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information that shall include at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 and address of the Chinese military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represented 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identification of the matters on which the consultant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expects to conduct influencing activity on behalf of such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 affirmative acknowledgment by the consultant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name and address of any official in the legislative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executive branch, and of any members of any such official's staff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immediate family, who are employed by the consultant or any person 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such consultant if such information is known or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should have been known to the consultant;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Disclose that such Chinese military company is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of the 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person who violates this section shall be subject to a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penalty of one hundred thousand dollars for each violation.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subsequent violation, the civil penalty shall be increased by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 more than the previously assessed penalty, not to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million dollars per violation. All penalties collected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remitted to the State Treasurer for distribution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Article VII, section 5, of the Constitution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Chinese military company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1260H of Public Law 116-283, as such section existed on April 1,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includes any subsidiary of a Chinese military company or any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owned or controlled, in whole or in part, by a Chinese military company;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Influencing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to,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influencing by means of telephone, electronic mail, United States mail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mail delivery service, or in-person meetings.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49-1401,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and sections 49-1480 and 49-14,126, Revised Statutes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30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