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Financial Fraud Victims' Reimbursement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amend section 84-222,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administrator of the fund to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powers and duties for the patrol;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84-222,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84-222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Financial transaction offense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28-1601;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Victim includes both individuals and persons,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financial institutions.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Financial Fraud Victims' Reimbursement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shall be administered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Attorney 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assets forfeited from financial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offenses as provided in subdivision (8)(b)(ii) of section 28-1601.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victim who has suffered loss as a result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offense may apply for reimbursement from the fund.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submitted in a form and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Attorney 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Attorney 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an applicant has suffered a qualifying loss and, if so,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of reimbursement that shall be made. An applicant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receive reimbursement from the funds forfeited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financial transaction offense of which the applicant was a victim.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are more applicants with qualified losses than there are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Attorney 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on a pro rata basis according to the amount of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suffered.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Funds relating to a financial transaction offense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into the Financial Fraud Victims' Reimbursement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(8)(b)(ii) of section 28-1601 shall remain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Fraud Victims' Reimbursement Fund until the later of: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Thirty-six months following the date of such transfer;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Resolution of any applications filed during such thirty-six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the expiration of the period described in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such funds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in accordance with Article VII, section 5,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84-222,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