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5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6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81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37,300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el Tax Enforcement and Collection Cash Fund for FY2026-27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36,300 from the Motor Fuel Tax Enforcement and Collection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Department of Revenue, for Program 111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815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99,5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or $102,500 for FY2027-28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