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1028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5; Cavanaugh, J., 9;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Livestock Waste Management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54-2416,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requirements for registering a nutrient management plan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of livestock waste or litter as provided;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54-2416,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54-2416 Sections 54-2416 to 54-2438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Livestock Waste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large concentrated animal feeding operation,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40 C.F.R. 122.23, as such regulation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shall register its nutrient management plan with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update its plan annually thereafter. The plan and any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shall be made publicly available on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any acres where livestock waste or litter is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 nutrient management plan, cover crops shall be planted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application unless the field has perennial cover crops.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 and maintenance for such cover crops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implementing the nutrient management plan. When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possible, the entity implementing the nutrient management plan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regenerative agricultural practices which minimize tillage,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living roots systems, armor the soil with increased plant matter build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up, increase bio-diversity, integrate livestock grazing systems,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and restore a region's native ecosystem.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any acres where livestock waste or litter is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adjacent to a running waterway pursuant to a nutrient management plan,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thirty-foot perennial-grass buffer shall be established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between the area of application and the waterway.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 and maintenance for such buffer shall be paid by the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implementing the nutrient management plan. The entity implementing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nutrient management plan shall also annually compensate the landowner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buffer for production losses on such buffered acres prices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54-2416,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