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190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Legislative Performance Audit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50-1208,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duties for the Legislative Performance Audit Committee;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50-1208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committee shall review and approve a schedule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audits of all state agencies on a rotating basis so that each agency,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 of an agency, is audited every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committee shall, by majority vote, adopt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specific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for performance audit. The committee chairperson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each requester of any action taken on his or her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Before the office begins a performance audit,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in writing the agency director, the program director,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relevant, and the Governor that a performance audit will be conducted.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Following notification, the office shall arrange an entrance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 to provide the agency with further information about the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process. The agency director shall inform the agency staff, in writing,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performance audit and shall instruct agency staff to cooperate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with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the entrance conference, the office shall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necessary to draft a scope statement for consideration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 The scope statement shall identify the specific issues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addressed in the audit. The committee shall, by majority vote, adopt,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reject, or amend and adopt the scope statement prepared by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Once the committee has adopted a scope statement,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an audit plan. The audit plan shall include a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research and audit methodologies to be employed and a projected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for completion of the office's report. The audit plan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committee, and a majority vote shall be required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Upon approval of the audit plan, the agency shall be notified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 of the specific scope of the audit and the projected deadline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completion of the office's report. If the office needs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political subdivision or entity thereof to effectively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audit of an agency, the political subdivision or entity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shall provide information, on request, to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performance audit reveals a need to modify the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or audit plan, the Legislative Auditor may request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make revisions. A majority vote shall be required to revise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scope statement or audit plan. The agency shall be notified in writing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revision to the scope statement or audit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50-1208,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