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127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McKeon, 41; Hardin, 48; Lippincott, 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actions; to amend section 29-1208,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provide for damages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defendants in criminal actions that are dismissed or in which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is found not guilty; to define a term;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that people who are mistakenly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wrongfully prosecuted suffer significant financial hardship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result. The purpose of this section is to lessen the hardship faced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people and to serve as an incentive for the government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caution and restraint in making prosecutorial decisions.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prosecutor includes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General, a deputy attorney general, assistant attorneys general,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attorney, a deputy county attorney, a city attorney, 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authority to prosecute criminal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(4) of this section,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whom any criminal charge has been filed or prosecuted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damages as provided in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person is granted an absolute discharge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29-1208;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prosecutor voluntarily dismisses the charges,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(5)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charges are dismissed by the trial court or on appeal;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a jury trial, the jury returns a verdict of not guilty;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 a bench trial, the court finds the person to be not guilty;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conviction is overturned on appeal or pursuant to any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postconviction relief.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defendant is not entitled to relief under this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offense described in subsection (3) of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defendant is convicted of another offense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the same misconduct;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other offense is classified as the same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or felony or as a higher level;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conviction for such other offense is not dismissed,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overturned, or vacated.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Misconduct is substantially the same if the misconduct arises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of the same transaction or event, is part of a common scheme or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substantively similar and close in time. Factors to consider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whether misconduct is substantially similar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passage of time between each occurrence; the parties involved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occurrence, including the victims; and the charges brought.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defendant may enter into an agreement with a prosecutor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dismiss charges and may waive the payment of damages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Upon the occurrence of an event described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trial court shall hold a hearing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damages to be awarded. The court shall award: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Reasonable attorney's fees and other litigation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for trial and any appeals or actions for postconviction relief;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Actual damages caused by the filing of charges,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detention, prosecution, conviction, or imprisonment,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lost wages.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29-1208 If a defendant is not brought to trial before the running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for trial as provided for in section 29-1207, as extended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periods, he or she shall be entitled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her absolute discharge from the offense charged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other offense required by law to be joined with that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Damages as provided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29-1208,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