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530A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530,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$134,000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 Automation Cash Fund for FY2025-26 and (2)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 Automation Cash Fund for FY2026-27 to the Supreme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Program 570, to aid in carrying out the provisions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 530,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