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24,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36,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$51,585 from the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Reduction and Recycling Incentive Fund for FY2025-26 and (2) $109,036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Waste Reduction and Recycling Incentive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Environment and Energy, for Program 513,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36,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$30,264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$63,554 for FY2026-27.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