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 enforcement; to amend section 60-6,102,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require medical facilities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mortuaries to comply with requests for blood draws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deceased persons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60-6,102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 driver who dies within four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being in a motor vehicle accident, including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in which one or more persons in addition to such driver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killed, and of a pedestrian sixteen years of age or older who dies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hours after being struck by a motor vehicle, the coroner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performing the duties of coroner shall examine the body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such tests to be made as are necessary to determine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drugs in the body of such driver or pedestrian.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information shall be included in each report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60-6,101 to 60-6,104 and shall be tabulated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basis by the Department of Transportation. Such information,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identity of the deceased and any such amount of alcohol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drugs, shall be public information and may be released or disclosed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medical facility or mortuary shall comply with a request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peace officer for a blood draw of a driver or pedestrian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60-6,102,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