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619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transportation; to provide for cities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primary class and certain counties to receive grants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highways; to state legislative intent;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Transportation shall award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jointly to cities of the primary class and the counties in which cities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primary class are located. Such grants shall be awarded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constructing motor vehicle transportation infrastructure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connects a highway as defined in section 39-101 with the National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Interstate and Defense Highways.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city of the primary class and county in which such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primary class is located shall provide a report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each year until all of the grant money is spent. Any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not used for the intended purpose of the grant shall be repaid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and county that received such grant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Transportation. Any such repaid money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It is the intent of the Legislature to appropriate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 from the General Fund in fiscal year 2025-26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Transportation for 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