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37; Dorn, 30; Meyer,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amend sections 23-346.01,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23-1303, and 23-1309,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inventory and discharge records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warrants; to eliminate provisions regarding registration of farm,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ranch, or home names;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23-1313,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23-346.01,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23-346.01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the duty of the county clerk,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a population of one hundred fifty thousand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determined by the most recent federal 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before December 1, annually, to prepare separate estimates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supplies, materials, equipment and machinery required for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officers during the coming year, which by law are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furnished by the state, and, in order to properly estimate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supplies, materials, equipment and machinery to be needed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government,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clerk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the county clerk's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perpetual inventory of all personal property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23-1303 (1) The county clerk shall not issue any county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upon claims approved by the county board. Every warrant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numbered consecutively as allowed from July 1 to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corresponding with the fiscal year of the county. The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records including the date, amount, and number of each warrant,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the person to whom a warrant is issued, and the date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is returned as canceled. The records shall be made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for viewing, in either an electronic or printed format.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county clerk shall develop and implement a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preparation and issuance by electronic or mechanical means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compatible with the funds transfer system established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pursuant to subsection (6)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combine warrants for individual funds into a summary warrant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lists each fund and the amount requested from such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Warrant includes an order issued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and countersigned by the county clerk directing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make payment in a specified amount to a specified payee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use of a dual signature negotiable instrument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section, an electronic funds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 telephonic funds transfer system, funds transfers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article 4A, Uniform Commercial Code, a mechanical funds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or any other funds transfer system established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chairperson of the county board shall sign each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cause each warrant to be signed in his or her behalf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personally, by delegation of authority, or by facsimile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signature. The signature of the chairperson of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signify that the payment intended by a warrant bearing such signature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under the appropriate laws of the state and resolutions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clerk shall countersign all warrants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county board either personally, by delegation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by facsimile or electronic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treasurer shall, if requested by the county clerk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board, establish procedures and processes for facsimile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signature of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treasurer may establish and operate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system, a telephonic funds transfer system,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as provided for in article 4A, Uniform Commercial Code,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funds transfer system, or any other funds transfer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funds from and the deposit of receipts into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treasury. Such system as established by the county treasurer shall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control safeguards and after meeting such safeguards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satisfy any signature requirements. The use of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system, a telephonic funds transfer system,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as provided for in article 4A, Uniform Commercial Code,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funds transfer system, or any other funds transfer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county treasurer shall not create any rights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have been created had an order, drawn by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upon the county treasurer directing the latter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amount to a specified payee by the use of a dual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negotiable instrument as provided for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been used as the payment medium.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23-1309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county clerk in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keep in a separate book or books, entitled Discharge Record,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discharges or records of separation from active duty from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States. Information contained in the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shall be confidential and made available only to the veteran,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veterans service officer, or post service officer of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clerk may transfer the Discharge Record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Archives of the Nebraska State Historical Society for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preservation after the veteran's federal Official Military Personnel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a public archival record or after sixty-two years,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23-346.01, 23-1303, and 23-1309,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23-1313, Reissue Revised Statutes of Nebraska.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