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48,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Managed Care Excess Profit Fund for FY2025-26 and (2)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Medicaid Managed Care Excess Profit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48,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$60,000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$60,000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September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