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5; Cavanaugh, M., 6; Hunt, 8; Raybould, 28; Spivey,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minors; to amend section 43-2101,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age of majority;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43-2101 (1) All persons under nineteen years of age are declared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minors, but in case any person marries under the age of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his or her minority 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becoming the age of majority, a person is considered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and acquires all rights and responsibilities granted or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or common law, except that a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Eighteen years of age or older and who is not a ward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Enter into a binding contract or lease of whatever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and shall be legally responsible for such contract or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legal responsibility to third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Execute, sign, authorize, or otherwise authenticate (A)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statement, (B) a promissory note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evidencing an obligation to repay, or (C) a mortgage, trust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agreement, financing statement, or other security instrument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 lien or security interest in real or personal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fixtures, and shall be legally responsible for such document,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responsibility to third parties;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Acquire or convey title to real property and shall have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such acquisition or conveyance, including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to third parties;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Eighteen years of age or older may consent to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himself or herself without the consent of his or her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guardian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Under nineteen years of age who is pregnant or who is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child younger than eight years of age or who is experiencing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pregnancy-related condition, including, but not limited to, complete,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incomplete, or threatened miscarriage, stillbirth, ectopic pregnancy,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molar pregnancy, or other loss may consent to health care decisions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himself or herself without the consent of such person's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guardian. This subdivision does not apply to a person in the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 pursuant to a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Eighteen years of age or older may make health care decisions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himself or herself without the consent of his or her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guardian. This subdivision does not apply if such person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custody of the Department of Health and Human Services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court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43-2101,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