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304A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304,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Cash Fund for FY2025-26 and (2) $3,157,170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Cash Fund for FY2026-27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for Program 347, to aid in carrying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304,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Cash Funds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$3,157,170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