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619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transportation; to provide for cities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primary class and certain counties to receive grants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highways; to state legislative intent;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of Transportation shall award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jointly to cities of the primary class and the counties in which cities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primary class are located. Such grants shall be awarded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 of constructing motor vehicle transportation infrastructure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connects a highway as defined in section 39-101 with the National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Interstate and Defense Highways.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city of the primary class and county in which such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primary class is located shall provide a report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Transportation each year until all of the grant money is spent. Any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not used for the intended purpose of the grant shall be repaid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city and county that received such grant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Transportation. Any such repaid money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 for 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It is the intent of the Legislature to appropriate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million dollars from the General Fund in fiscal year 2025-26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Transportation for purposes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