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244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Political Accountability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Act; to amend section 49-1402,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Nebraska; to change legislative findings;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49-1402 The Legislature finds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 interest in the manner in which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campaigns are conducted has increased greatly in recent years, creating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need for additional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accountability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disclosure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accountability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there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 compelling state interest in ensuring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and local elections are free of corruption and the appearance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corruption and that this can only be achieved if (a) the 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of campaigns are fully disclosed and (b) the use of money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campaigns is fully disclosed;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essential to the proper operation of democratic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that public officials and employees be independent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impartial, that governmental decisions and policy be made in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channels of governmental structure, and that public office or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used for private gain other than the compensation provided by law;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attainment of one or more of these ends is impaired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there exists, or appears to exist, a substantial conflict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private interests of a public official and his or her duties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Although,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 that although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vast majority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 and employees are dedicated and serve with high integrity,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interest requires that the law provide greater accountability,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disclosure, and guidance with respect to the conduct of public officials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49-1402,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