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Storm, 23;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Parenting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43-2923, Reissue Revised Statutes of Nebraska; to require courts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certain research in determining the best interests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43-2923 The best interests of the child require: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parenting arrangement and parenting plan or other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arrangement which provides for a child's safety,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growth, health, stability, and physical care and regular and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attendance and progress for school-age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preponderance of the evidence indicates domestic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abuse, a parenting and visitation arrangement that provides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victim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the child's families and those serving in parenting roles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appropriately active and involved in parenting with safe,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continuing quality contact between children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when they have shown the ability to act in the best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and have shared in the responsibilities of raising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That even when parents have voluntarily negotiated or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mediated and agreed upon a parenting plan, the court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it is in the best interests of the child for parents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communications with each other and to make joint decisions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parenting functions as are necessary for the care and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child. If the court rejects a parenting plan,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provide written findings as to why the parenting plan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That certain principles provide a basis upon which education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is delivered and upon which negotiation and mediation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plans are conducted. Such principles shall include: To minimize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potentially negative impact of parental conflict on children;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parents the tools they need to reach parenting decisions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interests of a child; to provide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specialized alternative dispute resolution options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adversarial for the child and the family; to ensure that the child's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voice is heard and considered in parenting decisions; to maximize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family members through the justice process; and, in cases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intimate partner abuse or child abuse or neglect, to incorporate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principles of victim safety and sensitivity, offender accountability,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safety in parenting plan decisions;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determining custody and parenting arrangements,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best interests of the minor child,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consideration of the foregoing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relationship of the minor child to each parent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action or any subsequent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desires and wishes of the minor child, if of an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comprehension but regardless of chronological age, when such desires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wishes are based on sound reasoning;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general health, welfare, and social behavior of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Credible research showing increased intellectual and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in children who have equal access to both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Credible evidence of abuse inflicted on any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member. For purposes of this subdivision, abuse and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 shall have the meanings prescribed in section 42-903;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Credible evidence of child abuse or neglect 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intimate partner abuse. For purposes of this subdivision,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43-2922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43-2923,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