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or private nuisances;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provide immunity from claims of public or private nuisance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motor vehicle racing facilities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Associated amenities includes any racetrack, garage, pit,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spectator seating, concession facility, restroom facility,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office, maintenance facility, parking area, and driveway;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Motor vehicle means any vehicle that is propelled by any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muscular 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Motor vehicle racing facility means a facility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amenities where one or more motor vehicles are used in any land-based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racing competition or in practice for any land-based racing competition;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Racetrack includes any track that is paved or unpaved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oval track, road course, and drag strip.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motor vehicle racing facility shall not be found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or private nuisance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facility existed before a change in the land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occupancy of land in and about the locality of such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Before such change, the facility would not have been a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civil action against a motor vehicle racing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or private nuisance shall not be brought more than two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condition that is the subject matter of the action reaches a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sufficient to sustain a claim of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shall not apply to any action brought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or to enforce a previous order of a court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claim of nuisance or to any claims for additional damages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equitable relief available when a motor vehicle racing facility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remediate a nuisance pursuant to such court order.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