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79-760.01,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Eduction to adopt academic content standards on human embryology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science education standards as prescribed;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79-760.01 (1) The State Board of Education shall adopt measurable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content standards for at least the grade levels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pursuant to section 79-760.03. The standards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 the subject areas of reading, writing, mathematics, science,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shall also adopt measurable academic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the following as part of the social studies standards: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Financial literacy;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Education on the Holocaust and other acts of genocide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Congress of the United States or the United Nations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January 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before March 1, 2024, the board shall also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measurable academic content standards for computer science and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under the mathematics, science, or career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On or before March 1, 2026, the board shall adopt measurable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content standards for human embryology under the 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standards. Such standards shall be integrated into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school's curriculum no later than the start of the 2026-27 school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Instruction on human development that accurately portrays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biological science of human embryology, including the Carnegie Stages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Embryonic Development, in the curriculum of elementary,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school, and high school students;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High-definition visual recordings which are of at least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dimensional quality, commonly referred to as 4D. The visual recordings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show the development of the brain, heart, sex organs,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vital organs throughout fetal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parent, guardian, or educational decisionmaker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79-530 may opt such parent's, guardian's,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decisionmaker's student out of the instruction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(2)(c)(i)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Academic content standards adopted or recommended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sufficiently clear and measurable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student performance with respect to mastery of the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state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Board of Education shall develop a plan to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standards for each subject area every seven years.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shall include a review of commonly accepted standards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79-760.01,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