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power districts, public irrigation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and public power and irrigation districts;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70-655,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setting of rates by districts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70-655 (1) Except as otherwise provided in this section,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directors of any district organized under or subject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6, shall have the power and be required to fix, establish,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adequate rates, tolls, rents, and other charges for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water service, water storage, and for any and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including ethanol and hydrogen, services,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furnished, or supplied by the district, which rates, tolls,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charges shall be fair, reasonable, nondiscriminatory, and so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 a fair and equitable manner to confer upon and distribute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and consumers of commodities and services furnished or sold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the benefits of a successful and profitable operation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the business of the 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Rates and charges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differentiated based on load size, load factor, firm and nonfirm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risks, length of service commitment, and other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directors may negotiate, fix, establish,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rates, tolls, rents, and other charges for users and consumers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energy and associated services or facilities different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of other users and consumers. Any negotiated rates, tolls,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charges for a commercial or industrial customer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for no more than five years and in no case shall such 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tolls, rents, and charges include a production component that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incremental production cost of supplying such services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customer has entered an agreement with the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provide an economic development project pursuant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 law and (b) such economic development project has projected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additional electrical load requirements greater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kilowatts and a minimum annual load demand factor of sixty percent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applicable billing period. This subsection shall also apply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 organized for the purpose of furnishing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pursuant to the Electric Cooperative Corporation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Nonprofit Corporation Act, any agency created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Cooperative Financing Act, and any municipality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electrical service to customers at retail or wholesale.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order to facilitate the merger and consolidation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the board of directors of a merged or consolidated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negotiate, fix, establish, and collect rates, tolls, rents,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for consumers in the service area of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predecessor districts which are different than rates, tolls, rents,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charges for consumers in the remaining service area of the merged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consolidated district. Any different rates, tolls, rents,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pursuant to this subsection shall be effective for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 after the date of merger or consolidation and shall be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cost of service or other rate studies showing that adoption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dissimilar rates for consumers in otherwise similar rate classes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effectuate the merger or consolidation.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apply in the event of a merger or consolidation of any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organized for the purpose of furnishing electric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Electric Cooperative Corporation Act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70-655,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