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444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Dungan, 26.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transportation; to amend section 75-307,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require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uninsured and underinsured insurance coverage per occupant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certain certificated intrastate motor carriers, certain motor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carriers transporting household goods, and any motor carrier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transporting employees of a railroad carrier;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75-307 (1) Certificated intrastate motor carriers, including common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contract carriers, any motor carrier transporting household goods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 license issued pursuant to section 75-304.03, and any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 transporting employees of a railroad carrier under 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pursuant to section 75-304.04 shall comply with reasonable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prescribed by the commission governing the filing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commission, the approval of the filings, and the maintenance of proof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such carrier's principal place of business of surety bonds, policies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insurance, qualifications as a self-insurer, or other securities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agreements, in such reasonable amount as required by the commission,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conditioned to pay, within the amount of such surety bonds, policies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insurance, qualifications as a self-insurer, or other securities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agreements, any final judgment recovered against such motor carrier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bodily injuries to or the death of any person resulting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negligent operation, maintenance, or use of motor vehicles under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certificate, permit, or license or for loss or damage to property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others. No certificate or permit shall be issued to a common or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carrier, no license shall be issued to a motor carrier transporting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household goods under section 75-304.03 or employees of a railroad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 under section 75-304.04, nor shall such certificate, permit,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remain in force unless such carrier complies with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rules and regulations prescribed by the commission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commission may, in its discretion and under its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regulations, require any certificated carrier, any motor carrier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transporting household goods under a license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75-304.03, and any motor carrier transporting employees of a railroad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 under a license issued pursuant to section 75-304.04 to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surety bond, policies of insurance, qualifications as a self-insurer,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securities or agreements, in a sum to be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to be conditioned upon such carrier making compensation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shippers or consignees for all property belonging to shippers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consignees and coming into the possession of such carrier in connection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its transportation service. Any carrier which may be required by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compensate a shipper or consignee for any loss, damage, or default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 connecting motor common carrier is legally responsible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subrogated to the rights of such shipper or consignee under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bond, policies of insurance, or other securities or agreements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of the sum so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When setting the rates for required policies of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this section, the commission shall require at least a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one million dollars in uninsured and underinsured insurance coverage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 occupant.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carrying out this section, the commission may classify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carriers and regulated motor carriers taking into consideration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hazards of the operations of such carriers and the value of the household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goods carried. Nothing contained in this section shall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 the commission to compel motor carriers other than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transporting household goods under section 75-309 or under 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pursuant to section 75-304.03 to carry cargo insurance.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section does not apply to transportation network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75-307,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3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