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sales and use tax revenue;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For transactions occurring on 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before July 1, 2042, of the proceeds of the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transactions other than those listed in subdivisions (2)(a),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(b), and (e) of this section from a sales tax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one percent, credit monthly eighty-five percent to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and fifteen 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section 77-27,237, if any such certification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77-27,132,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