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District Property Tax Relief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77-7304 and 77-7305,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fund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to the School District Property Tax Relief Credit Fund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 relief granted;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 (1) The School District Property Tax Relief Credit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only be used pursuant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in fiscal year 2024-25,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It is the intent of the Legislature that seven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2025-26.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It is the intent of the Legislature that eight hundred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It is the intent of the Legislature that eight hundred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 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It is the intent of the Legislature that eight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2028-29.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It is the intent of the Legislature that nine hundred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Credit Fund in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2030-31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fiscal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be equal to the total amount transferred in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year increased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fifty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For tax year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dollars.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tax year 2025, the total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act shall be seven hundred eighty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the total amount of relief granted under the act shall be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eight million dollars. For tax year 2027,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relief 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dollars. For tax year 2028, the total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shall be eight hundred seventy million dollars. For tax year 2029,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amount of relief granted under the act shall be nine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million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each tax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relief granted under the act shall be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relief from the prior year increased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relief shall be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credits which appear on property tax statements.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granted under the act shall be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treasurer shall disburse amounts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77-7304 and 77-7305,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