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Intergenerational Care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Grant Program; to amend section 81-3145,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related to eligibility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81-3145 (1) The Intergenerational Care Facility Incentive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created. 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fiscal year 2024-25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grants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eligibility, application, and audits for grants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collaboration with statewide associations representing nursing homes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38-2414 and other stakeholders.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with such associations prior to October 1, 2024, to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statutes, rules, regulations, or other regulatory barriers that impede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of an intergenerational care facility in which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child care are provided and develop recommendations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remediate such barriers that do not impact the safety of the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of the nursing services and child care or the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services and child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grants shall be awarded to facilities that are nursing homes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38-2414 or assisted-living facilities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71-5903 and that have been certified for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medicare or medicaid. The grants shall be used for one-time startup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expansion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provide for child care in such facilities.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awarded one grant under this section of up to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grants shall be awarded for modification of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outside campus space of the nursing facilities,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 care equipment and supplies, or any combination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 facility that is applying for or awarded a grant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own or operate the child care services for which the grant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shall award the grants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nonprofit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proprietary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the basis of date of application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given to rural communities, as defined in section 81-1228,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applications filed on the same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facility that was cited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quality of care during its most recent survey is not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grant under this section. Each grant recipient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participate in the quality rating and improvement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71-1956 within three years after the date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awarded.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81-3145,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