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系统健康度评估与权重动态维护机制"/>
    <w:p>
      <w:pPr>
        <w:pStyle w:val="5"/>
      </w:pPr>
      <w:r>
        <w:rPr>
          <w:rFonts w:hint="eastAsia"/>
        </w:rPr>
        <w:t xml:space="preserve">系统健康度评估与权重动态维护机制</w:t>
      </w:r>
    </w:p>
    <w:bookmarkStart w:id="23" w:name="一系统健康度评估流程"/>
    <w:p>
      <w:pPr>
        <w:pStyle w:val="6"/>
      </w:pPr>
      <w:r>
        <w:rPr>
          <w:rFonts w:hint="eastAsia"/>
        </w:rPr>
        <w:t xml:space="preserve">一、系统健康度评估流程</w:t>
      </w:r>
    </w:p>
    <w:bookmarkStart w:id="19" w:name="数据采集与预处理"/>
    <w:p>
      <w:pPr>
        <w:pStyle w:val="7"/>
      </w:pPr>
      <w:r>
        <w:t xml:space="preserve">1.1 </w:t>
      </w:r>
      <w:r>
        <w:rPr>
          <w:rFonts w:hint="eastAsia"/>
        </w:rPr>
        <w:t xml:space="preserve">数据采集与预处理</w:t>
      </w:r>
    </w:p>
    <w:p>
      <w:pPr>
        <w:pStyle w:val="4"/>
      </w:pPr>
      <w:r>
        <w:rPr>
          <w:rFonts w:hint="eastAsia"/>
        </w:rPr>
        <w:t xml:space="preserve">系统依据预设的采集策略，定时从统一监控平台、ITSM</w:t>
      </w:r>
      <w:r>
        <w:t xml:space="preserve"> </w:t>
      </w:r>
      <w:r>
        <w:rPr>
          <w:rFonts w:hint="eastAsia"/>
        </w:rPr>
        <w:t xml:space="preserve">系统等数据源抽取与系统运行能力、运维能力及保障能力相关的多维度指标数据。原始数据经采集后进入预处理模块，执行以下两类变换：</w:t>
      </w:r>
    </w:p>
    <w:p>
      <w:pPr>
        <w:pStyle w:val="26"/>
        <w:numPr>
          <w:ilvl w:val="0"/>
          <w:numId w:val="1001"/>
        </w:numPr>
      </w:pPr>
      <w:r>
        <w:rPr>
          <w:rFonts w:hint="eastAsia"/>
          <w:b/>
          <w:bCs/>
        </w:rPr>
        <w:t xml:space="preserve">异常值剔除</w:t>
      </w:r>
      <w:r>
        <w:rPr>
          <w:rFonts w:hint="eastAsia"/>
        </w:rPr>
        <w:t xml:space="preserve">：基于统计阈值或业务规则识别并滤除因采集异常、设备故障等因素产生的离群样本，确保参与计算的指标序列具备统计稳定性；</w:t>
      </w:r>
    </w:p>
    <w:p>
      <w:pPr>
        <w:pStyle w:val="26"/>
        <w:numPr>
          <w:ilvl w:val="0"/>
          <w:numId w:val="1001"/>
        </w:numPr>
      </w:pPr>
      <w:r>
        <w:rPr>
          <w:rFonts w:hint="eastAsia"/>
          <w:b/>
          <w:bCs/>
        </w:rPr>
        <w:t xml:space="preserve">无量纲化处理</w:t>
      </w:r>
      <w:r>
        <w:rPr>
          <w:rFonts w:hint="eastAsia"/>
        </w:rPr>
        <w:t xml:space="preserve">：采用极值归一化或功效系数法，将各指标原始观测值映射至</w:t>
      </w:r>
      <w:r>
        <w:t xml:space="preserve"> </w:t>
      </w:r>
      <w:r>
        <w:rPr>
          <w:b/>
          <w:bCs/>
        </w:rPr>
        <w:t xml:space="preserve">0–100</w:t>
      </w:r>
      <w:r>
        <w:t xml:space="preserve"> </w:t>
      </w:r>
      <w:r>
        <w:rPr>
          <w:rFonts w:hint="eastAsia"/>
        </w:rPr>
        <w:t xml:space="preserve">的标准化分值区间，消除量纲差异对后续加权计算的干扰。</w:t>
      </w:r>
    </w:p>
    <w:bookmarkEnd w:id="19"/>
    <w:bookmarkStart w:id="20" w:name="单项能力评分计算"/>
    <w:p>
      <w:pPr>
        <w:pStyle w:val="7"/>
      </w:pPr>
      <w:r>
        <w:t xml:space="preserve">1.2 </w:t>
      </w:r>
      <w:r>
        <w:rPr>
          <w:rFonts w:hint="eastAsia"/>
        </w:rPr>
        <w:t xml:space="preserve">单项能力评分计算</w:t>
      </w:r>
    </w:p>
    <w:p>
      <w:pPr>
        <w:pStyle w:val="4"/>
      </w:pPr>
      <w:r>
        <w:rPr>
          <w:rFonts w:hint="eastAsia"/>
        </w:rPr>
        <w:t xml:space="preserve">设系统运行能力、运维能力、保障能力分别包含</w:t>
      </w:r>
      <w:r>
        <w:t xml:space="preserve"> </w:t>
      </w:r>
      <m:oMath>
        <m:sSub>
          <m:e>
            <m:r>
              <m:t>n</m:t>
            </m:r>
          </m:e>
          <m:sub>
            <m:r>
              <m:t>1</m:t>
            </m:r>
          </m:sub>
        </m:sSub>
        <m:r>
          <m:rPr>
            <m:sty m:val="p"/>
          </m:rPr>
          <m:t>,</m:t>
        </m:r>
        <m:sSub>
          <m:e>
            <m:r>
              <m:t>n</m:t>
            </m:r>
          </m:e>
          <m:sub>
            <m:r>
              <m:t>2</m:t>
            </m:r>
          </m:sub>
        </m:sSub>
        <m:r>
          <m:rPr>
            <m:sty m:val="p"/>
          </m:rPr>
          <m:t>,</m:t>
        </m:r>
        <m:sSub>
          <m:e>
            <m:r>
              <m:t>n</m:t>
            </m:r>
          </m:e>
          <m:sub>
            <m:r>
              <m:t>3</m:t>
            </m:r>
          </m:sub>
        </m:sSub>
      </m:oMath>
      <w:r>
        <w:t xml:space="preserve"> </w:t>
      </w:r>
      <w:r>
        <w:rPr>
          <w:rFonts w:hint="eastAsia"/>
        </w:rPr>
        <w:t xml:space="preserve">个底层评分项，各评分项标准化分值为</w:t>
      </w:r>
      <w:r>
        <w:t xml:space="preserve"> </w:t>
      </w:r>
      <m:oMath>
        <m:sSub>
          <m:e>
            <m:r>
              <m:t>x</m:t>
            </m:r>
          </m:e>
          <m:sub>
            <m:r>
              <m:t>i</m:t>
            </m:r>
            <m:r>
              <m:t>j</m:t>
            </m:r>
          </m:sub>
        </m:sSub>
      </m:oMath>
      <w:r>
        <w:rPr>
          <w:rFonts w:hint="eastAsia"/>
        </w:rPr>
        <w:t xml:space="preserve">，人工配置的权重为</w:t>
      </w:r>
      <w:r>
        <w:t xml:space="preserve"> </w:t>
      </w:r>
      <m:oMath>
        <m:sSub>
          <m:e>
            <m:r>
              <m:t>w</m:t>
            </m:r>
          </m:e>
          <m:sub>
            <m:r>
              <m:t>i</m:t>
            </m:r>
            <m:r>
              <m:t>j</m:t>
            </m:r>
          </m:sub>
        </m:sSub>
      </m:oMath>
      <w:r>
        <w:rPr>
          <w:rFonts w:hint="eastAsia"/>
        </w:rPr>
        <w:t xml:space="preserve">（满足</w:t>
      </w:r>
      <w:r>
        <w:t xml:space="preserve"> </w:t>
      </w:r>
      <m:oMath>
        <m:nary>
          <m:naryPr>
            <m:chr m:val="∑"/>
            <m:limLoc m:val="undOvr"/>
            <m:subHide m:val="off"/>
            <m:supHide m:val="off"/>
          </m:naryPr>
          <m:sub>
            <m:r>
              <m:t>j</m:t>
            </m:r>
            <m:r>
              <m:rPr>
                <m:sty m:val="p"/>
              </m:rPr>
              <m:t>=</m:t>
            </m:r>
            <m:r>
              <m:t>1</m:t>
            </m:r>
          </m:sub>
          <m:sup>
            <m:sSub>
              <m:e>
                <m:r>
                  <m:t>n</m:t>
                </m:r>
              </m:e>
              <m:sub>
                <m:r>
                  <m:t>i</m:t>
                </m:r>
              </m:sub>
            </m:sSub>
          </m:sup>
          <m:e>
            <m:sSub>
              <m:e>
                <m:r>
                  <m:t>w</m:t>
                </m:r>
              </m:e>
              <m:sub>
                <m:r>
                  <m:t>i</m:t>
                </m:r>
                <m:r>
                  <m:t>j</m:t>
                </m:r>
              </m:sub>
            </m:sSub>
          </m:e>
        </m:nary>
        <m:r>
          <m:rPr>
            <m:sty m:val="p"/>
          </m:rPr>
          <m:t>=</m:t>
        </m:r>
        <m:r>
          <m:t>100</m:t>
        </m:r>
        <m:r>
          <m:rPr>
            <m:sty m:val="p"/>
          </m:rPr>
          <m:t>%</m:t>
        </m:r>
      </m:oMath>
      <w:r>
        <w:rPr>
          <w:rFonts w:hint="eastAsia"/>
        </w:rPr>
        <w:t xml:space="preserve">），则三大能力域单项评分由加权算术平均计算如下：</w:t>
      </w:r>
    </w:p>
    <w:p>
      <w:pPr>
        <w:pStyle w:val="3"/>
      </w:pPr>
      <m:oMathPara>
        <m:oMathParaPr>
          <m:jc m:val="center"/>
        </m:oMathParaPr>
        <m:oMath>
          <m:sSub>
            <m:e>
              <m:r>
                <m:t>S</m:t>
              </m:r>
            </m:e>
            <m:sub>
              <m:r>
                <m:t>i</m:t>
              </m:r>
            </m:sub>
          </m:sSub>
          <m:r>
            <m:rPr>
              <m:sty m:val="p"/>
            </m:rPr>
            <m:t>=</m:t>
          </m:r>
          <m:nary>
            <m:naryPr>
              <m:chr m:val="∑"/>
              <m:limLoc m:val="undOvr"/>
              <m:subHide m:val="off"/>
              <m:supHide m:val="off"/>
            </m:naryPr>
            <m:sub>
              <m:r>
                <m:t>j</m:t>
              </m:r>
              <m:r>
                <m:rPr>
                  <m:sty m:val="p"/>
                </m:rPr>
                <m:t>=</m:t>
              </m:r>
              <m:r>
                <m:t>1</m:t>
              </m:r>
            </m:sub>
            <m:sup>
              <m:sSub>
                <m:e>
                  <m:r>
                    <m:t>n</m:t>
                  </m:r>
                </m:e>
                <m:sub>
                  <m:r>
                    <m:t>i</m:t>
                  </m:r>
                </m:sub>
              </m:sSub>
            </m:sup>
            <m:e>
              <m:r>
                <m:rPr>
                  <m:sty m:val="p"/>
                </m:rPr>
                <m:t>(</m:t>
              </m:r>
            </m:e>
          </m:nary>
          <m:sSub>
            <m:e>
              <m:r>
                <m:t>x</m:t>
              </m:r>
            </m:e>
            <m:sub>
              <m:r>
                <m:t>i</m:t>
              </m:r>
              <m:r>
                <m:t>j</m:t>
              </m:r>
            </m:sub>
          </m:sSub>
          <m:r>
            <m:rPr>
              <m:sty m:val="p"/>
            </m:rPr>
            <m:t>×</m:t>
          </m:r>
          <m:sSub>
            <m:e>
              <m:r>
                <m:t>w</m:t>
              </m:r>
            </m:e>
            <m:sub>
              <m:r>
                <m:t>i</m:t>
              </m:r>
              <m:r>
                <m:t>j</m:t>
              </m:r>
            </m:sub>
          </m:sSub>
          <m:r>
            <m:rPr>
              <m:sty m:val="p"/>
            </m:rPr>
            <m:t>)</m:t>
          </m:r>
          <m:r>
            <m:rPr>
              <m:sty m:val="p"/>
            </m:rPr>
            <m:t>,</m:t>
          </m:r>
          <m:r>
            <m:t> </m:t>
          </m:r>
          <m:r>
            <m:t>i</m:t>
          </m:r>
          <m:r>
            <m:rPr>
              <m:sty m:val="p"/>
            </m:rPr>
            <m:t>=</m:t>
          </m:r>
          <m:r>
            <m:t>1</m:t>
          </m:r>
          <m:r>
            <m:rPr>
              <m:sty m:val="p"/>
            </m:rPr>
            <m:t>,</m:t>
          </m:r>
          <m:r>
            <m:t>2</m:t>
          </m:r>
          <m:r>
            <m:rPr>
              <m:sty m:val="p"/>
            </m:rPr>
            <m:t>,</m:t>
          </m:r>
          <m:r>
            <m:t>3</m:t>
          </m:r>
        </m:oMath>
      </m:oMathPara>
    </w:p>
    <w:p>
      <w:pPr>
        <w:pStyle w:val="4"/>
      </w:pPr>
      <w:r>
        <w:rPr>
          <w:rFonts w:hint="eastAsia"/>
        </w:rPr>
        <w:t xml:space="preserve">其中</w:t>
      </w:r>
      <w:r>
        <w:t xml:space="preserve"> </w:t>
      </w:r>
      <m:oMath>
        <m:sSub>
          <m:e>
            <m:r>
              <m:t>S</m:t>
            </m:r>
          </m:e>
          <m:sub>
            <m:r>
              <m:t>1</m:t>
            </m:r>
          </m:sub>
        </m:sSub>
        <m:r>
          <m:rPr>
            <m:sty m:val="p"/>
          </m:rPr>
          <m:t>,</m:t>
        </m:r>
        <m:sSub>
          <m:e>
            <m:r>
              <m:t>S</m:t>
            </m:r>
          </m:e>
          <m:sub>
            <m:r>
              <m:t>2</m:t>
            </m:r>
          </m:sub>
        </m:sSub>
        <m:r>
          <m:rPr>
            <m:sty m:val="p"/>
          </m:rPr>
          <m:t>,</m:t>
        </m:r>
        <m:sSub>
          <m:e>
            <m:r>
              <m:t>S</m:t>
            </m:r>
          </m:e>
          <m:sub>
            <m:r>
              <m:t>3</m:t>
            </m:r>
          </m:sub>
        </m:sSub>
      </m:oMath>
      <w:r>
        <w:t xml:space="preserve"> </w:t>
      </w:r>
      <w:r>
        <w:rPr>
          <w:rFonts w:hint="eastAsia"/>
        </w:rPr>
        <w:t xml:space="preserve">分别代表系统运行能力评分、运维能力评分与保障能力评分。</w:t>
      </w:r>
    </w:p>
    <w:bookmarkEnd w:id="20"/>
    <w:bookmarkStart w:id="21" w:name="综合健康度评分计算"/>
    <w:p>
      <w:pPr>
        <w:pStyle w:val="7"/>
      </w:pPr>
      <w:r>
        <w:t xml:space="preserve">1.3 </w:t>
      </w:r>
      <w:r>
        <w:rPr>
          <w:rFonts w:hint="eastAsia"/>
        </w:rPr>
        <w:t xml:space="preserve">综合健康度评分计算</w:t>
      </w:r>
    </w:p>
    <w:p>
      <w:pPr>
        <w:pStyle w:val="4"/>
      </w:pPr>
      <w:r>
        <w:rPr>
          <w:rFonts w:hint="eastAsia"/>
        </w:rPr>
        <w:t xml:space="preserve">系统整体健康度综合评分采用分层加权模式，将三项核心能力视为上层评价维度。设人工配置的三项核心能力权重依次为</w:t>
      </w:r>
      <w:r>
        <w:t xml:space="preserve"> </w:t>
      </w:r>
      <m:oMath>
        <m:sSub>
          <m:e>
            <m:r>
              <m:t>W</m:t>
            </m:r>
          </m:e>
          <m:sub>
            <m:r>
              <m:t>1</m:t>
            </m:r>
          </m:sub>
        </m:sSub>
        <m:r>
          <m:rPr>
            <m:sty m:val="p"/>
          </m:rPr>
          <m:t>,</m:t>
        </m:r>
        <m:sSub>
          <m:e>
            <m:r>
              <m:t>W</m:t>
            </m:r>
          </m:e>
          <m:sub>
            <m:r>
              <m:t>2</m:t>
            </m:r>
          </m:sub>
        </m:sSub>
        <m:r>
          <m:rPr>
            <m:sty m:val="p"/>
          </m:rPr>
          <m:t>,</m:t>
        </m:r>
        <m:sSub>
          <m:e>
            <m:r>
              <m:t>W</m:t>
            </m:r>
          </m:e>
          <m:sub>
            <m:r>
              <m:t>3</m:t>
            </m:r>
          </m:sub>
        </m:sSub>
      </m:oMath>
      <w:r>
        <w:rPr>
          <w:rFonts w:hint="eastAsia"/>
        </w:rPr>
        <w:t xml:space="preserve">，满足</w:t>
      </w:r>
      <w:r>
        <w:t xml:space="preserve"> </w:t>
      </w:r>
      <m:oMath>
        <m:nary>
          <m:naryPr>
            <m:chr m:val="∑"/>
            <m:limLoc m:val="undOvr"/>
            <m:subHide m:val="off"/>
            <m:supHide m:val="off"/>
          </m:naryPr>
          <m:sub>
            <m:r>
              <m:t>i</m:t>
            </m:r>
            <m:r>
              <m:rPr>
                <m:sty m:val="p"/>
              </m:rPr>
              <m:t>=</m:t>
            </m:r>
            <m:r>
              <m:t>1</m:t>
            </m:r>
          </m:sub>
          <m:sup>
            <m:r>
              <m:t>3</m:t>
            </m:r>
          </m:sup>
          <m:e>
            <m:sSub>
              <m:e>
                <m:r>
                  <m:t>W</m:t>
                </m:r>
              </m:e>
              <m:sub>
                <m:r>
                  <m:t>i</m:t>
                </m:r>
              </m:sub>
            </m:sSub>
          </m:e>
        </m:nary>
        <m:r>
          <m:rPr>
            <m:sty m:val="p"/>
          </m:rPr>
          <m:t>=</m:t>
        </m:r>
        <m:r>
          <m:t>100</m:t>
        </m:r>
        <m:r>
          <m:rPr>
            <m:sty m:val="p"/>
          </m:rPr>
          <m:t>%</m:t>
        </m:r>
      </m:oMath>
      <w:r>
        <w:rPr>
          <w:rFonts w:hint="eastAsia"/>
        </w:rPr>
        <w:t xml:space="preserve">，则综合健康度评分定义为：</w:t>
      </w:r>
    </w:p>
    <w:p>
      <w:pPr>
        <w:pStyle w:val="3"/>
      </w:pPr>
      <m:oMathPara>
        <m:oMathParaPr>
          <m:jc m:val="center"/>
        </m:oMathParaPr>
        <m:oMath>
          <m:r>
            <m:t>H</m:t>
          </m:r>
          <m:r>
            <m:rPr>
              <m:sty m:val="p"/>
            </m:rPr>
            <m:t>=</m:t>
          </m:r>
          <m:sSub>
            <m:e>
              <m:r>
                <m:t>W</m:t>
              </m:r>
            </m:e>
            <m:sub>
              <m:r>
                <m:t>1</m:t>
              </m:r>
            </m:sub>
          </m:sSub>
          <m:sSub>
            <m:e>
              <m:r>
                <m:t>S</m:t>
              </m:r>
            </m:e>
            <m:sub>
              <m:r>
                <m:t>1</m:t>
              </m:r>
            </m:sub>
          </m:sSub>
          <m:r>
            <m:rPr>
              <m:sty m:val="p"/>
            </m:rPr>
            <m:t>+</m:t>
          </m:r>
          <m:sSub>
            <m:e>
              <m:r>
                <m:t>W</m:t>
              </m:r>
            </m:e>
            <m:sub>
              <m:r>
                <m:t>2</m:t>
              </m:r>
            </m:sub>
          </m:sSub>
          <m:sSub>
            <m:e>
              <m:r>
                <m:t>S</m:t>
              </m:r>
            </m:e>
            <m:sub>
              <m:r>
                <m:t>2</m:t>
              </m:r>
            </m:sub>
          </m:sSub>
          <m:r>
            <m:rPr>
              <m:sty m:val="p"/>
            </m:rPr>
            <m:t>+</m:t>
          </m:r>
          <m:sSub>
            <m:e>
              <m:r>
                <m:t>W</m:t>
              </m:r>
            </m:e>
            <m:sub>
              <m:r>
                <m:t>3</m:t>
              </m:r>
            </m:sub>
          </m:sSub>
          <m:sSub>
            <m:e>
              <m:r>
                <m:t>S</m:t>
              </m:r>
            </m:e>
            <m:sub>
              <m:r>
                <m:t>3</m:t>
              </m:r>
            </m:sub>
          </m:sSub>
        </m:oMath>
      </m:oMathPara>
    </w:p>
    <w:p>
      <w:pPr>
        <w:pStyle w:val="4"/>
      </w:pPr>
      <w:r>
        <w:rPr>
          <w:rFonts w:hint="eastAsia"/>
        </w:rPr>
        <w:t xml:space="preserve">该评分为系统整体运行状态的量化表征，具备可比较、可追溯的特性。</w:t>
      </w:r>
    </w:p>
    <w:bookmarkEnd w:id="21"/>
    <w:bookmarkStart w:id="22" w:name="可视化呈现与明细追溯"/>
    <w:p>
      <w:pPr>
        <w:pStyle w:val="7"/>
      </w:pPr>
      <w:r>
        <w:t xml:space="preserve">1.4 </w:t>
      </w:r>
      <w:r>
        <w:rPr>
          <w:rFonts w:hint="eastAsia"/>
        </w:rPr>
        <w:t xml:space="preserve">可视化呈现与明细追溯</w:t>
      </w:r>
    </w:p>
    <w:p>
      <w:pPr>
        <w:pStyle w:val="4"/>
      </w:pPr>
      <w:r>
        <w:rPr>
          <w:rFonts w:hint="eastAsia"/>
        </w:rPr>
        <w:t xml:space="preserve">评分结果以数值与图形组合方式在前端界面呈现：单项能力评分及综合评分以仪表盘、折线图、饼图等形式动态渲染；同时提供评分明细下钻功能，展示各底层指标的原始值、标准化分值、权重配置及历史变化轨迹，满足绩效评估与审计追溯的双重需求。</w:t>
      </w:r>
    </w:p>
    <w:p>
      <w:r>
        <w:pict>
          <v:rect style="width:0;height:1.5pt" o:hralign="center" o:hrstd="t" o:hr="t"/>
        </w:pict>
      </w:r>
    </w:p>
    <w:bookmarkEnd w:id="22"/>
    <w:bookmarkEnd w:id="23"/>
    <w:bookmarkStart w:id="28" w:name="二权重动态维护流程"/>
    <w:p>
      <w:pPr>
        <w:pStyle w:val="6"/>
      </w:pPr>
      <w:r>
        <w:rPr>
          <w:rFonts w:hint="eastAsia"/>
        </w:rPr>
        <w:t xml:space="preserve">二、权重动态维护流程</w:t>
      </w:r>
    </w:p>
    <w:bookmarkStart w:id="24" w:name="权限控制机制"/>
    <w:p>
      <w:pPr>
        <w:pStyle w:val="7"/>
      </w:pPr>
      <w:r>
        <w:t xml:space="preserve">2.1 </w:t>
      </w:r>
      <w:r>
        <w:rPr>
          <w:rFonts w:hint="eastAsia"/>
        </w:rPr>
        <w:t xml:space="preserve">权限控制机制</w:t>
      </w:r>
    </w:p>
    <w:p>
      <w:pPr>
        <w:pStyle w:val="4"/>
      </w:pPr>
      <w:r>
        <w:rPr>
          <w:rFonts w:hint="eastAsia"/>
        </w:rPr>
        <w:t xml:space="preserve">系统对权重维护操作实施基于角色的访问控制。具备权限的操作者（如运行值班经理）登录系统后进入权重维护模块，系统首先验证当前会话的权限标识；若权限不足，则拒绝访问并反馈“无操作权限”提示，保持界面状态不迁移。</w:t>
      </w:r>
    </w:p>
    <w:bookmarkEnd w:id="24"/>
    <w:bookmarkStart w:id="25" w:name="权重配置查看与修改"/>
    <w:p>
      <w:pPr>
        <w:pStyle w:val="7"/>
      </w:pPr>
      <w:r>
        <w:t xml:space="preserve">2.2 </w:t>
      </w:r>
      <w:r>
        <w:rPr>
          <w:rFonts w:hint="eastAsia"/>
        </w:rPr>
        <w:t xml:space="preserve">权重配置查看与修改</w:t>
      </w:r>
    </w:p>
    <w:p>
      <w:pPr>
        <w:pStyle w:val="4"/>
      </w:pPr>
      <w:r>
        <w:rPr>
          <w:rFonts w:hint="eastAsia"/>
        </w:rPr>
        <w:t xml:space="preserve">进入维护界面后，系统读取数据库中最新的权重配置记录，以结构化列表形式展示三项核心能力权重及各能力域内评分项的权重分布。操作者可直接在输入域中调整权重数值，系统实时执行</w:t>
      </w:r>
      <w:r>
        <w:rPr>
          <w:rFonts w:hint="eastAsia"/>
          <w:b/>
          <w:bCs/>
        </w:rPr>
        <w:t xml:space="preserve">输入合法性校验</w:t>
      </w:r>
      <w:r>
        <w:rPr>
          <w:rFonts w:hint="eastAsia"/>
        </w:rPr>
        <w:t xml:space="preserve">：仅允许输入</w:t>
      </w:r>
      <w:r>
        <w:t xml:space="preserve"> 0–100 </w:t>
      </w:r>
      <w:r>
        <w:rPr>
          <w:rFonts w:hint="eastAsia"/>
        </w:rPr>
        <w:t xml:space="preserve">范围内的整数，否则即时提示“权重值需为</w:t>
      </w:r>
      <w:r>
        <w:t xml:space="preserve"> 0–100 </w:t>
      </w:r>
      <w:r>
        <w:rPr>
          <w:rFonts w:hint="eastAsia"/>
        </w:rPr>
        <w:t xml:space="preserve">的整数”，且禁止提交。</w:t>
      </w:r>
    </w:p>
    <w:bookmarkEnd w:id="25"/>
    <w:bookmarkStart w:id="26" w:name="总和约束与持久化校验"/>
    <w:p>
      <w:pPr>
        <w:pStyle w:val="7"/>
      </w:pPr>
      <w:r>
        <w:t xml:space="preserve">2.3 </w:t>
      </w:r>
      <w:r>
        <w:rPr>
          <w:rFonts w:hint="eastAsia"/>
        </w:rPr>
        <w:t xml:space="preserve">总和约束与持久化校验</w:t>
      </w:r>
    </w:p>
    <w:p>
      <w:pPr>
        <w:pStyle w:val="4"/>
      </w:pPr>
      <w:r>
        <w:rPr>
          <w:rFonts w:hint="eastAsia"/>
        </w:rPr>
        <w:t xml:space="preserve">操作者提交修改后，系统触发两级总和约束校验：</w:t>
      </w:r>
    </w:p>
    <w:p>
      <w:pPr>
        <w:pStyle w:val="26"/>
        <w:numPr>
          <w:ilvl w:val="0"/>
          <w:numId w:val="1002"/>
        </w:numPr>
      </w:pPr>
      <w:r>
        <w:rPr>
          <w:rFonts w:hint="eastAsia"/>
          <w:b/>
          <w:bCs/>
        </w:rPr>
        <w:t xml:space="preserve">核心能力层级</w:t>
      </w:r>
      <w:r>
        <w:rPr>
          <w:rFonts w:hint="eastAsia"/>
        </w:rPr>
        <w:t xml:space="preserve">：三项核心能力权重之和必须严格等于</w:t>
      </w:r>
      <w:r>
        <w:t xml:space="preserve"> </w:t>
      </w:r>
      <w:r>
        <w:rPr>
          <w:rFonts w:hint="eastAsia"/>
        </w:rPr>
        <w:t xml:space="preserve">100%；</w:t>
      </w:r>
    </w:p>
    <w:p>
      <w:pPr>
        <w:pStyle w:val="26"/>
        <w:numPr>
          <w:ilvl w:val="0"/>
          <w:numId w:val="1002"/>
        </w:numPr>
      </w:pPr>
      <w:r>
        <w:rPr>
          <w:rFonts w:hint="eastAsia"/>
          <w:b/>
          <w:bCs/>
        </w:rPr>
        <w:t xml:space="preserve">评分项层级</w:t>
      </w:r>
      <w:r>
        <w:rPr>
          <w:rFonts w:hint="eastAsia"/>
        </w:rPr>
        <w:t xml:space="preserve">：各能力域内部所有评分项权重之和须分别为</w:t>
      </w:r>
      <w:r>
        <w:t xml:space="preserve"> 100%。</w:t>
      </w:r>
    </w:p>
    <w:p>
      <w:pPr>
        <w:pStyle w:val="4"/>
      </w:pPr>
      <w:r>
        <w:rPr>
          <w:rFonts w:hint="eastAsia"/>
        </w:rPr>
        <w:t xml:space="preserve">校验通过时，系统将新权重集合原子性写入数据库配置表，并自动生成权重修改日志，记录操作账号、时间戳、变更前权重快照与变更后权重内容；校验失败时，系统返回具体错误提示（如“核心能力权重总和需为</w:t>
      </w:r>
      <w:r>
        <w:t xml:space="preserve"> </w:t>
      </w:r>
      <w:r>
        <w:rPr>
          <w:rFonts w:hint="eastAsia"/>
        </w:rPr>
        <w:t xml:space="preserve">100%”），保留界面已填数据供操作者二次调整。</w:t>
      </w:r>
    </w:p>
    <w:bookmarkEnd w:id="26"/>
    <w:bookmarkStart w:id="27" w:name="生效机制与反馈"/>
    <w:p>
      <w:pPr>
        <w:pStyle w:val="7"/>
      </w:pPr>
      <w:r>
        <w:t xml:space="preserve">2.4 </w:t>
      </w:r>
      <w:r>
        <w:rPr>
          <w:rFonts w:hint="eastAsia"/>
        </w:rPr>
        <w:t xml:space="preserve">生效机制与反馈</w:t>
      </w:r>
    </w:p>
    <w:p>
      <w:pPr>
        <w:pStyle w:val="4"/>
      </w:pPr>
      <w:r>
        <w:rPr>
          <w:rFonts w:hint="eastAsia"/>
        </w:rPr>
        <w:t xml:space="preserve">权重配置更新成功后，系统弹出操作成功确认信息，并明确告知“新权重将在下一次健康度评估周期自动生效”。该设计确保权重变更与历史评分数据的隔离，避免已发布的评分结果被追溯性覆盖，保障评估过程的时序一致性。</w:t>
      </w:r>
    </w:p>
    <w:p>
      <w:r>
        <w:pict>
          <v:rect style="width:0;height:1.5pt" o:hralign="center" o:hrstd="t" o:hr="t"/>
        </w:pict>
      </w:r>
    </w:p>
    <w:bookmarkEnd w:id="27"/>
    <w:bookmarkEnd w:id="28"/>
    <w:bookmarkStart w:id="29" w:name="三时间维度聚合规则"/>
    <w:p>
      <w:pPr>
        <w:pStyle w:val="6"/>
      </w:pPr>
      <w:r>
        <w:rPr>
          <w:rFonts w:hint="eastAsia"/>
        </w:rPr>
        <w:t xml:space="preserve">三、时间维度聚合规则</w:t>
      </w:r>
    </w:p>
    <w:p>
      <w:pPr>
        <w:pStyle w:val="4"/>
      </w:pPr>
      <w:r>
        <w:rPr>
          <w:rFonts w:hint="eastAsia"/>
        </w:rPr>
        <w:t xml:space="preserve">为支撑不同时间粒度下的健康度趋势分析，系统依据以下聚合逻辑对日度评分进行归约：</w:t>
      </w:r>
    </w:p>
    <w:p>
      <w:pPr>
        <w:pStyle w:val="26"/>
        <w:numPr>
          <w:ilvl w:val="0"/>
          <w:numId w:val="1003"/>
        </w:numPr>
      </w:pPr>
      <w:r>
        <w:rPr>
          <w:rFonts w:hint="eastAsia"/>
          <w:b/>
          <w:bCs/>
        </w:rPr>
        <w:t xml:space="preserve">日度数据</w:t>
      </w:r>
      <w:r>
        <w:rPr>
          <w:rFonts w:hint="eastAsia"/>
        </w:rPr>
        <w:t xml:space="preserve">：以自然日为统计单元，直接采用当日最后一次评估生成的综合评分及各单项能力评分；</w:t>
      </w:r>
    </w:p>
    <w:p>
      <w:pPr>
        <w:pStyle w:val="26"/>
        <w:numPr>
          <w:ilvl w:val="0"/>
          <w:numId w:val="1003"/>
        </w:numPr>
      </w:pPr>
      <w:r>
        <w:rPr>
          <w:rFonts w:hint="eastAsia"/>
          <w:b/>
          <w:bCs/>
        </w:rPr>
        <w:t xml:space="preserve">月度数据</w:t>
      </w:r>
      <w:r>
        <w:rPr>
          <w:rFonts w:hint="eastAsia"/>
        </w:rPr>
        <w:t xml:space="preserve">：当月内所有有效日度评分的算术平均值，即</w:t>
      </w:r>
      <w:r>
        <w:t xml:space="preserve"> </w:t>
      </w:r>
      <m:oMath>
        <m:r>
          <m:t>M</m:t>
        </m:r>
        <m:r>
          <m:rPr>
            <m:sty m:val="p"/>
          </m:rPr>
          <m:t>=</m:t>
        </m:r>
        <m:f>
          <m:fPr>
            <m:type m:val="bar"/>
          </m:fPr>
          <m:num>
            <m:r>
              <m:t>1</m:t>
            </m:r>
          </m:num>
          <m:den>
            <m:r>
              <m:t>d</m:t>
            </m:r>
          </m:den>
        </m:f>
        <m:nary>
          <m:naryPr>
            <m:chr m:val="∑"/>
            <m:limLoc m:val="undOvr"/>
            <m:subHide m:val="off"/>
            <m:supHide m:val="off"/>
          </m:naryPr>
          <m:sub>
            <m:r>
              <m:t>k</m:t>
            </m:r>
            <m:r>
              <m:rPr>
                <m:sty m:val="p"/>
              </m:rPr>
              <m:t>=</m:t>
            </m:r>
            <m:r>
              <m:t>1</m:t>
            </m:r>
          </m:sub>
          <m:sup>
            <m:r>
              <m:t>d</m:t>
            </m:r>
          </m:sup>
          <m:e>
            <m:sSub>
              <m:e>
                <m:r>
                  <m:t>H</m:t>
                </m:r>
              </m:e>
              <m:sub>
                <m:r>
                  <m:t>k</m:t>
                </m:r>
              </m:sub>
            </m:sSub>
          </m:e>
        </m:nary>
      </m:oMath>
      <w:r>
        <w:rPr>
          <w:rFonts w:hint="eastAsia"/>
        </w:rPr>
        <w:t xml:space="preserve">，其中</w:t>
      </w:r>
      <w:r>
        <w:t xml:space="preserve"> </w:t>
      </w:r>
      <m:oMath>
        <m:r>
          <m:t>d</m:t>
        </m:r>
      </m:oMath>
      <w:r>
        <w:t xml:space="preserve"> </w:t>
      </w:r>
      <w:r>
        <w:rPr>
          <w:rFonts w:hint="eastAsia"/>
        </w:rPr>
        <w:t xml:space="preserve">为当月实际评估天数；</w:t>
      </w:r>
    </w:p>
    <w:p>
      <w:pPr>
        <w:pStyle w:val="26"/>
        <w:numPr>
          <w:ilvl w:val="0"/>
          <w:numId w:val="1003"/>
        </w:numPr>
      </w:pPr>
      <w:r>
        <w:rPr>
          <w:rFonts w:hint="eastAsia"/>
          <w:b/>
          <w:bCs/>
        </w:rPr>
        <w:t xml:space="preserve">季度数据</w:t>
      </w:r>
      <w:r>
        <w:rPr>
          <w:rFonts w:hint="eastAsia"/>
        </w:rPr>
        <w:t xml:space="preserve">：当季内各月度评分的算术平均值，即</w:t>
      </w:r>
      <w:r>
        <w:t xml:space="preserve"> </w:t>
      </w:r>
      <m:oMath>
        <m:r>
          <m:t>Q</m:t>
        </m:r>
        <m:r>
          <m:rPr>
            <m:sty m:val="p"/>
          </m:rPr>
          <m:t>=</m:t>
        </m:r>
        <m:f>
          <m:fPr>
            <m:type m:val="bar"/>
          </m:fPr>
          <m:num>
            <m:r>
              <m:t>1</m:t>
            </m:r>
          </m:num>
          <m:den>
            <m:r>
              <m:t>3</m:t>
            </m:r>
          </m:den>
        </m:f>
        <m:nary>
          <m:naryPr>
            <m:chr m:val="∑"/>
            <m:limLoc m:val="undOvr"/>
            <m:subHide m:val="off"/>
            <m:supHide m:val="off"/>
          </m:naryPr>
          <m:sub>
            <m:r>
              <m:t>m</m:t>
            </m:r>
            <m:r>
              <m:rPr>
                <m:sty m:val="p"/>
              </m:rPr>
              <m:t>=</m:t>
            </m:r>
            <m:r>
              <m:t>1</m:t>
            </m:r>
          </m:sub>
          <m:sup>
            <m:r>
              <m:t>3</m:t>
            </m:r>
          </m:sup>
          <m:e>
            <m:sSub>
              <m:e>
                <m:r>
                  <m:t>M</m:t>
                </m:r>
              </m:e>
              <m:sub>
                <m:r>
                  <m:t>m</m:t>
                </m:r>
              </m:sub>
            </m:sSub>
          </m:e>
        </m:nary>
      </m:oMath>
      <w:r>
        <w:rPr>
          <w:rFonts w:hint="eastAsia"/>
        </w:rPr>
        <w:t xml:space="preserve">；</w:t>
      </w:r>
    </w:p>
    <w:p>
      <w:pPr>
        <w:pStyle w:val="26"/>
        <w:numPr>
          <w:ilvl w:val="0"/>
          <w:numId w:val="1003"/>
        </w:numPr>
      </w:pPr>
      <w:r>
        <w:rPr>
          <w:rFonts w:hint="eastAsia"/>
          <w:b/>
          <w:bCs/>
        </w:rPr>
        <w:t xml:space="preserve">年度数据</w:t>
      </w:r>
      <w:r>
        <w:rPr>
          <w:rFonts w:hint="eastAsia"/>
        </w:rPr>
        <w:t xml:space="preserve">：当年内各季度评分的算术平均值，即</w:t>
      </w:r>
      <w:r>
        <w:t xml:space="preserve"> </w:t>
      </w:r>
      <m:oMath>
        <m:r>
          <m:t>Y</m:t>
        </m:r>
        <m:r>
          <m:rPr>
            <m:sty m:val="p"/>
          </m:rPr>
          <m:t>=</m:t>
        </m:r>
        <m:f>
          <m:fPr>
            <m:type m:val="bar"/>
          </m:fPr>
          <m:num>
            <m:r>
              <m:t>1</m:t>
            </m:r>
          </m:num>
          <m:den>
            <m:r>
              <m:t>4</m:t>
            </m:r>
          </m:den>
        </m:f>
        <m:nary>
          <m:naryPr>
            <m:chr m:val="∑"/>
            <m:limLoc m:val="undOvr"/>
            <m:subHide m:val="off"/>
            <m:supHide m:val="off"/>
          </m:naryPr>
          <m:sub>
            <m:r>
              <m:t>q</m:t>
            </m:r>
            <m:r>
              <m:rPr>
                <m:sty m:val="p"/>
              </m:rPr>
              <m:t>=</m:t>
            </m:r>
            <m:r>
              <m:t>1</m:t>
            </m:r>
          </m:sub>
          <m:sup>
            <m:r>
              <m:t>4</m:t>
            </m:r>
          </m:sup>
          <m:e>
            <m:sSub>
              <m:e>
                <m:r>
                  <m:t>Q</m:t>
                </m:r>
              </m:e>
              <m:sub>
                <m:r>
                  <m:t>q</m:t>
                </m:r>
              </m:sub>
            </m:sSub>
          </m:e>
        </m:nary>
      </m:oMath>
      <w:r>
        <w:t xml:space="preserve">。</w:t>
      </w:r>
    </w:p>
    <w:p>
      <w:pPr>
        <w:pStyle w:val="4"/>
      </w:pPr>
      <w:r>
        <w:rPr>
          <w:rFonts w:hint="eastAsia"/>
        </w:rPr>
        <w:t xml:space="preserve">上述聚合规则适用于综合健康度评分及各单项能力评分的历史趋势展示，底层日度数据始终完整保留，支持任意时段的自定义查询与回溯分析。</w:t>
      </w:r>
    </w:p>
    <w:bookmarkEnd w:id="29"/>
    <w:bookmarkEnd w:id="30"/>
    <w:sectPr>
      <w:footerReference r:id="rId5" w:type="default"/>
      <w:pgSz w:h="16838" w:w="11906"/>
      <w:pgMar w:bottom="1440" w:footer="720" w:gutter="0" w:header="720" w:left="1800" w:right="1800" w:top="1440"/>
      <w:cols w:num="1" w:space="720"/>
      <w:docGrid w:charSpace="0"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hanging="480" w:left="720"/>
      </w:pPr>
    </w:lvl>
    <w:lvl w:ilvl="1" w:tentative="0">
      <w:start w:val="0"/>
      <w:numFmt w:val="bullet"/>
      <w:lvlText w:val=" "/>
      <w:lvlJc w:val="left"/>
      <w:pPr>
        <w:ind w:hanging="480" w:left="1440"/>
      </w:pPr>
    </w:lvl>
    <w:lvl w:ilvl="2" w:tentative="0">
      <w:start w:val="0"/>
      <w:numFmt w:val="bullet"/>
      <w:lvlText w:val=" "/>
      <w:lvlJc w:val="left"/>
      <w:pPr>
        <w:ind w:hanging="480" w:left="2160"/>
      </w:pPr>
    </w:lvl>
    <w:lvl w:ilvl="3" w:tentative="0">
      <w:start w:val="0"/>
      <w:numFmt w:val="bullet"/>
      <w:lvlText w:val=" "/>
      <w:lvlJc w:val="left"/>
      <w:pPr>
        <w:ind w:hanging="480" w:left="2880"/>
      </w:pPr>
    </w:lvl>
    <w:lvl w:ilvl="4" w:tentative="0">
      <w:start w:val="0"/>
      <w:numFmt w:val="bullet"/>
      <w:lvlText w:val=" "/>
      <w:lvlJc w:val="left"/>
      <w:pPr>
        <w:ind w:hanging="480" w:left="3600"/>
      </w:pPr>
    </w:lvl>
    <w:lvl w:ilvl="5" w:tentative="0">
      <w:start w:val="0"/>
      <w:numFmt w:val="bullet"/>
      <w:lvlText w:val=" "/>
      <w:lvlJc w:val="left"/>
      <w:pPr>
        <w:ind w:hanging="480" w:left="4320"/>
      </w:pPr>
    </w:lvl>
    <w:lvl w:ilvl="6" w:tentative="0">
      <w:start w:val="0"/>
      <w:numFmt w:val="bullet"/>
      <w:lvlText w:val=" "/>
      <w:lvlJc w:val="left"/>
      <w:pPr>
        <w:ind w:hanging="480" w:left="5040"/>
      </w:pPr>
    </w:lvl>
    <w:lvl w:ilvl="7" w:tentative="0">
      <w:start w:val="0"/>
      <w:numFmt w:val="bullet"/>
      <w:lvlText w:val=" "/>
      <w:lvlJc w:val="left"/>
      <w:pPr>
        <w:ind w:hanging="480" w:left="5760"/>
      </w:pPr>
    </w:lvl>
    <w:lvl w:ilvl="8" w:tentative="0">
      <w:start w:val="0"/>
      <w:numFmt w:val="bullet"/>
      <w:lvlText w:val=" "/>
      <w:lvlJc w:val="left"/>
      <w:pPr>
        <w:ind w:hanging="480" w:left="6480"/>
      </w:pPr>
    </w:lvl>
  </w:abstractNum>
  <w:abstractNum w:abstractNumId="1">
    <w:nsid w:val="0000A991"/>
    <w:multiLevelType w:val="multilevel"/>
    <w:tmpl w:val="0000A991"/>
    <w:lvl w:ilvl="0" w:tentative="0">
      <w:start w:val="0"/>
      <w:numFmt w:val="bullet"/>
      <w:suff w:val="space"/>
      <w:lvlText w:val="•"/>
      <w:lvlJc w:val="left"/>
      <w:pPr>
        <w:ind w:firstLine="567" w:left="0"/>
      </w:pPr>
      <w:rPr>
        <w:rFonts w:ascii="微软雅黑" w:eastAsia="微软雅黑" w:hAnsi="微软雅黑" w:hint="eastAsia"/>
        <w:sz w:val="28"/>
      </w:rPr>
    </w:lvl>
    <w:lvl w:ilvl="1" w:tentative="0">
      <w:start w:val="0"/>
      <w:numFmt w:val="bullet"/>
      <w:suff w:val="space"/>
      <w:lvlText w:val=""/>
      <w:lvlJc w:val="left"/>
      <w:pPr>
        <w:ind w:firstLine="567" w:left="567"/>
      </w:pPr>
      <w:rPr>
        <w:rFonts w:ascii="Wingdings" w:hAnsi="Wingdings" w:hint="default"/>
        <w:sz w:val="28"/>
      </w:rPr>
    </w:lvl>
    <w:lvl w:ilvl="2" w:tentative="0">
      <w:start w:val="0"/>
      <w:numFmt w:val="bullet"/>
      <w:suff w:val="space"/>
      <w:lvlText w:val=""/>
      <w:lvlJc w:val="left"/>
      <w:pPr>
        <w:ind w:firstLine="567" w:left="1134"/>
      </w:pPr>
      <w:rPr>
        <w:rFonts w:ascii="Wingdings" w:hAnsi="Wingdings" w:hint="default"/>
        <w:sz w:val="28"/>
      </w:rPr>
    </w:lvl>
    <w:lvl w:ilvl="3" w:tentative="0">
      <w:start w:val="0"/>
      <w:numFmt w:val="bullet"/>
      <w:suff w:val="space"/>
      <w:lvlText w:val="•"/>
      <w:lvlJc w:val="left"/>
      <w:pPr>
        <w:ind w:firstLine="567" w:left="1701"/>
      </w:pPr>
      <w:rPr>
        <w:rFonts w:ascii="微软雅黑" w:eastAsia="微软雅黑" w:hAnsi="微软雅黑" w:hint="eastAsia"/>
        <w:sz w:val="28"/>
      </w:rPr>
    </w:lvl>
    <w:lvl w:ilvl="4" w:tentative="0">
      <w:start w:val="0"/>
      <w:numFmt w:val="bullet"/>
      <w:suff w:val="space"/>
      <w:lvlText w:val="•"/>
      <w:lvlJc w:val="left"/>
      <w:pPr>
        <w:ind w:firstLine="567" w:left="2268"/>
      </w:pPr>
      <w:rPr>
        <w:rFonts w:ascii="微软雅黑" w:eastAsia="微软雅黑" w:hAnsi="微软雅黑" w:hint="eastAsia"/>
        <w:sz w:val="28"/>
      </w:rPr>
    </w:lvl>
    <w:lvl w:ilvl="5" w:tentative="0">
      <w:start w:val="0"/>
      <w:numFmt w:val="bullet"/>
      <w:suff w:val="space"/>
      <w:lvlText w:val="•"/>
      <w:lvlJc w:val="left"/>
      <w:pPr>
        <w:ind w:firstLine="567" w:left="2835"/>
      </w:pPr>
      <w:rPr>
        <w:rFonts w:hint="eastAsia"/>
        <w:sz w:val="28"/>
      </w:rPr>
    </w:lvl>
    <w:lvl w:ilvl="6" w:tentative="0">
      <w:start w:val="0"/>
      <w:numFmt w:val="bullet"/>
      <w:suff w:val="space"/>
      <w:lvlText w:val="•"/>
      <w:lvlJc w:val="left"/>
      <w:pPr>
        <w:ind w:firstLine="567" w:left="3402"/>
      </w:pPr>
      <w:rPr>
        <w:rFonts w:hint="eastAsia"/>
        <w:sz w:val="28"/>
      </w:rPr>
    </w:lvl>
    <w:lvl w:ilvl="7" w:tentative="0">
      <w:start w:val="0"/>
      <w:numFmt w:val="bullet"/>
      <w:suff w:val="space"/>
      <w:lvlText w:val="•"/>
      <w:lvlJc w:val="left"/>
      <w:pPr>
        <w:ind w:firstLine="567" w:left="3969"/>
      </w:pPr>
      <w:rPr>
        <w:rFonts w:hint="eastAsia"/>
        <w:sz w:val="28"/>
      </w:rPr>
    </w:lvl>
    <w:lvl w:ilvl="8" w:tentative="0">
      <w:start w:val="0"/>
      <w:numFmt w:val="bullet"/>
      <w:suff w:val="space"/>
      <w:lvlText w:val="•"/>
      <w:lvlJc w:val="left"/>
      <w:pPr>
        <w:ind w:firstLine="567" w:left="4536"/>
      </w:pPr>
      <w:rPr>
        <w:rFonts w:hint="eastAsia"/>
        <w:sz w:val="28"/>
      </w:rPr>
    </w:lvl>
  </w:abstractNum>
  <w:abstractNum w:abstractNumId="2">
    <w:nsid w:val="00A99201"/>
    <w:multiLevelType w:val="multilevel"/>
    <w:tmpl w:val="00A99201"/>
    <w:lvl w:ilvl="0" w:tentative="0">
      <w:start w:val="1"/>
      <w:numFmt w:val="decimal"/>
      <w:suff w:val="space"/>
      <w:lvlText w:val="%1."/>
      <w:lvlJc w:val="right"/>
      <w:pPr>
        <w:ind w:firstLine="851" w:left="0"/>
      </w:pPr>
      <w:rPr>
        <w:rFonts w:hint="eastAsia"/>
      </w:rPr>
    </w:lvl>
    <w:lvl w:ilvl="1" w:tentative="0">
      <w:start w:val="1"/>
      <w:numFmt w:val="decimal"/>
      <w:suff w:val="space"/>
      <w:lvlText w:val="%2)"/>
      <w:lvlJc w:val="right"/>
      <w:pPr>
        <w:ind w:firstLine="851" w:left="567"/>
      </w:pPr>
      <w:rPr>
        <w:rFonts w:hint="eastAsia"/>
      </w:rPr>
    </w:lvl>
    <w:lvl w:ilvl="2" w:tentative="0">
      <w:start w:val="1"/>
      <w:numFmt w:val="upperLetter"/>
      <w:suff w:val="space"/>
      <w:lvlText w:val="%3."/>
      <w:lvlJc w:val="right"/>
      <w:pPr>
        <w:ind w:firstLine="851" w:left="1134"/>
      </w:pPr>
      <w:rPr>
        <w:rFonts w:hint="eastAsia"/>
      </w:rPr>
    </w:lvl>
    <w:lvl w:ilvl="3" w:tentative="0">
      <w:start w:val="1"/>
      <w:numFmt w:val="lowerLetter"/>
      <w:suff w:val="space"/>
      <w:lvlText w:val="%4."/>
      <w:lvlJc w:val="right"/>
      <w:pPr>
        <w:ind w:firstLine="851" w:left="1701"/>
      </w:pPr>
      <w:rPr>
        <w:rFonts w:hint="eastAsia"/>
      </w:rPr>
    </w:lvl>
    <w:lvl w:ilvl="4" w:tentative="0">
      <w:start w:val="1"/>
      <w:numFmt w:val="decimal"/>
      <w:suff w:val="space"/>
      <w:lvlText w:val="%5."/>
      <w:lvlJc w:val="right"/>
      <w:pPr>
        <w:ind w:firstLine="851" w:left="2268"/>
      </w:pPr>
      <w:rPr>
        <w:rFonts w:hint="eastAsia"/>
      </w:rPr>
    </w:lvl>
    <w:lvl w:ilvl="5" w:tentative="0">
      <w:start w:val="1"/>
      <w:numFmt w:val="decimal"/>
      <w:suff w:val="space"/>
      <w:lvlText w:val="%6)"/>
      <w:lvlJc w:val="right"/>
      <w:pPr>
        <w:ind w:firstLine="851" w:left="2835"/>
      </w:pPr>
      <w:rPr>
        <w:rFonts w:hint="eastAsia"/>
      </w:rPr>
    </w:lvl>
    <w:lvl w:ilvl="6" w:tentative="0">
      <w:start w:val="1"/>
      <w:numFmt w:val="upperLetter"/>
      <w:suff w:val="space"/>
      <w:lvlText w:val="%7."/>
      <w:lvlJc w:val="right"/>
      <w:pPr>
        <w:ind w:firstLine="851" w:left="3402"/>
      </w:pPr>
      <w:rPr>
        <w:rFonts w:hint="eastAsia"/>
      </w:rPr>
    </w:lvl>
    <w:lvl w:ilvl="7" w:tentative="0">
      <w:start w:val="1"/>
      <w:numFmt w:val="lowerLetter"/>
      <w:suff w:val="space"/>
      <w:lvlText w:val="%8."/>
      <w:lvlJc w:val="right"/>
      <w:pPr>
        <w:ind w:firstLine="851" w:left="3969"/>
      </w:pPr>
      <w:rPr>
        <w:rFonts w:hint="eastAsia"/>
      </w:rPr>
    </w:lvl>
    <w:lvl w:ilvl="8" w:tentative="0">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67E3A4E"/>
    <w:rsid w:val="380A4A6F"/>
    <w:rsid w:val="444A6219"/>
    <w:rsid w:val="51BB0241"/>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0" w:line="360" w:lineRule="auto"/>
    </w:pPr>
    <w:rPr>
      <w:rFonts w:ascii="Times New Roman" w:cstheme="minorBidi" w:eastAsia="宋体" w:hAnsi="Times New Roman"/>
      <w:sz w:val="24"/>
      <w:szCs w:val="24"/>
      <w:lang w:bidi="ar-SA" w:eastAsia="en-US" w:val="en-US"/>
    </w:rPr>
  </w:style>
  <w:style w:styleId="2" w:type="paragraph">
    <w:name w:val="heading 1"/>
    <w:basedOn w:val="1"/>
    <w:next w:val="3"/>
    <w:autoRedefine/>
    <w:qFormat/>
    <w:uiPriority w:val="9"/>
    <w:pPr>
      <w:keepNext/>
      <w:keepLines/>
      <w:pageBreakBefore/>
      <w:spacing w:before="480"/>
      <w:jc w:val="center"/>
      <w:outlineLvl w:val="0"/>
    </w:pPr>
    <w:rPr>
      <w:rFonts w:cstheme="majorBidi" w:eastAsia="黑体"/>
      <w:b/>
      <w:bCs/>
      <w:sz w:val="36"/>
      <w:szCs w:val="32"/>
    </w:rPr>
  </w:style>
  <w:style w:styleId="5" w:type="paragraph">
    <w:name w:val="heading 2"/>
    <w:basedOn w:val="1"/>
    <w:next w:val="3"/>
    <w:unhideWhenUsed/>
    <w:qFormat/>
    <w:uiPriority w:val="9"/>
    <w:pPr>
      <w:keepNext/>
      <w:keepLines/>
      <w:spacing w:before="300"/>
      <w:outlineLvl w:val="1"/>
    </w:pPr>
    <w:rPr>
      <w:rFonts w:cstheme="majorBidi" w:eastAsia="黑体"/>
      <w:b/>
      <w:bCs/>
      <w:sz w:val="32"/>
      <w:szCs w:val="32"/>
    </w:rPr>
  </w:style>
  <w:style w:styleId="6" w:type="paragraph">
    <w:name w:val="heading 3"/>
    <w:basedOn w:val="1"/>
    <w:next w:val="3"/>
    <w:unhideWhenUsed/>
    <w:qFormat/>
    <w:uiPriority w:val="9"/>
    <w:pPr>
      <w:keepNext/>
      <w:keepLines/>
      <w:spacing w:before="200"/>
      <w:outlineLvl w:val="2"/>
    </w:pPr>
    <w:rPr>
      <w:rFonts w:asciiTheme="majorHAnsi" w:cstheme="majorBidi" w:eastAsia="黑体" w:hAnsiTheme="majorHAnsi"/>
      <w:b/>
      <w:bCs/>
      <w:sz w:val="26"/>
      <w:szCs w:val="28"/>
    </w:rPr>
  </w:style>
  <w:style w:styleId="7" w:type="paragraph">
    <w:name w:val="heading 4"/>
    <w:basedOn w:val="1"/>
    <w:next w:val="3"/>
    <w:unhideWhenUsed/>
    <w:qFormat/>
    <w:uiPriority w:val="9"/>
    <w:pPr>
      <w:keepNext/>
      <w:keepLines/>
      <w:spacing w:before="200"/>
      <w:outlineLvl w:val="3"/>
    </w:pPr>
    <w:rPr>
      <w:rFonts w:asciiTheme="majorHAnsi" w:cstheme="majorBidi" w:eastAsia="黑体" w:hAnsiTheme="majorHAnsi"/>
      <w:bCs/>
    </w:rPr>
  </w:style>
  <w:style w:styleId="8" w:type="paragraph">
    <w:name w:val="heading 5"/>
    <w:basedOn w:val="1"/>
    <w:next w:val="3"/>
    <w:unhideWhenUsed/>
    <w:qFormat/>
    <w:uiPriority w:val="9"/>
    <w:pPr>
      <w:keepNext/>
      <w:keepLines/>
      <w:spacing w:before="200"/>
      <w:outlineLvl w:val="4"/>
    </w:pPr>
    <w:rPr>
      <w:rFonts w:asciiTheme="majorHAnsi" w:cstheme="majorBidi" w:eastAsia="黑体" w:hAnsiTheme="majorHAnsi"/>
      <w:iCs/>
    </w:rPr>
  </w:style>
  <w:style w:styleId="9" w:type="paragraph">
    <w:name w:val="heading 6"/>
    <w:basedOn w:val="1"/>
    <w:next w:val="3"/>
    <w:unhideWhenUsed/>
    <w:qFormat/>
    <w:uiPriority w:val="9"/>
    <w:pPr>
      <w:keepNext/>
      <w:keepLines/>
      <w:spacing w:before="200"/>
      <w:outlineLvl w:val="5"/>
    </w:pPr>
    <w:rPr>
      <w:rFonts w:asciiTheme="majorHAnsi" w:cstheme="majorBidi" w:eastAsia="黑体" w:hAnsiTheme="majorHAnsi"/>
    </w:rPr>
  </w:style>
  <w:style w:styleId="10" w:type="paragraph">
    <w:name w:val="heading 7"/>
    <w:basedOn w:val="1"/>
    <w:next w:val="3"/>
    <w:unhideWhenUsed/>
    <w:qFormat/>
    <w:uiPriority w:val="9"/>
    <w:pPr>
      <w:keepNext/>
      <w:keepLines/>
      <w:spacing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8"/>
    <w:basedOn w:val="1"/>
    <w:next w:val="3"/>
    <w:unhideWhenUsed/>
    <w:qFormat/>
    <w:uiPriority w:val="9"/>
    <w:pPr>
      <w:keepNext/>
      <w:keepLines/>
      <w:spacing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2" w:type="paragraph">
    <w:name w:val="heading 9"/>
    <w:basedOn w:val="1"/>
    <w:next w:val="3"/>
    <w:unhideWhenUsed/>
    <w:qFormat/>
    <w:uiPriority w:val="9"/>
    <w:pPr>
      <w:keepNext/>
      <w:keepLines/>
      <w:spacing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22" w:type="character">
    <w:name w:val="Default Paragraph Font"/>
    <w:semiHidden/>
    <w:unhideWhenUsed/>
    <w:uiPriority w:val="1"/>
  </w:style>
  <w:style w:default="1" w:styleId="21"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4"/>
    <w:link w:val="40"/>
    <w:qFormat/>
    <w:uiPriority w:val="0"/>
    <w:rPr>
      <w:rFonts w:ascii="Cambria Math" w:eastAsia="Cambria Math" w:hAnsi="Cambria Math"/>
    </w:rPr>
  </w:style>
  <w:style w:customStyle="1" w:styleId="4" w:type="paragraph">
    <w:name w:val="First Paragraph"/>
    <w:basedOn w:val="1"/>
    <w:next w:val="3"/>
    <w:qFormat/>
    <w:uiPriority w:val="0"/>
    <w:pPr>
      <w:spacing w:before="180"/>
      <w:ind w:firstLine="480" w:firstLineChars="200"/>
    </w:pPr>
    <w:rPr>
      <w:rFonts w:ascii="Cambria Math" w:eastAsia="Cambria Math" w:hAnsi="Cambria Math"/>
      <w:lang w:eastAsia="zh-CN"/>
    </w:rPr>
  </w:style>
  <w:style w:styleId="13" w:type="paragraph">
    <w:name w:val="caption"/>
    <w:basedOn w:val="1"/>
    <w:link w:val="24"/>
    <w:qFormat/>
    <w:uiPriority w:val="0"/>
    <w:pPr>
      <w:spacing w:after="120"/>
      <w:jc w:val="center"/>
    </w:pPr>
  </w:style>
  <w:style w:styleId="14" w:type="paragraph">
    <w:name w:val="Block Text"/>
    <w:basedOn w:val="1"/>
    <w:unhideWhenUsed/>
    <w:qFormat/>
    <w:uiPriority w:val="9"/>
    <w:pPr>
      <w:pBdr>
        <w:left w:color="BEBEBE" w:space="4" w:sz="48" w:themeColor="background1" w:themeShade="BF" w:val="single"/>
      </w:pBdr>
      <w:spacing w:before="100"/>
      <w:ind w:left="200" w:leftChars="200" w:right="100" w:rightChars="100"/>
    </w:pPr>
    <w:rPr>
      <w:rFonts w:eastAsiaTheme="minorEastAsia"/>
      <w:lang w:eastAsia="zh-CN"/>
    </w:rPr>
  </w:style>
  <w:style w:styleId="15" w:type="paragraph">
    <w:name w:val="Date"/>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styleId="16" w:type="paragraph">
    <w:name w:val="footer"/>
    <w:basedOn w:val="1"/>
    <w:link w:val="42"/>
    <w:qFormat/>
    <w:uiPriority w:val="99"/>
    <w:pPr>
      <w:tabs>
        <w:tab w:pos="4153" w:val="center"/>
        <w:tab w:pos="8306" w:val="right"/>
      </w:tabs>
      <w:snapToGrid w:val="0"/>
    </w:pPr>
    <w:rPr>
      <w:sz w:val="18"/>
      <w:szCs w:val="18"/>
    </w:rPr>
  </w:style>
  <w:style w:styleId="17" w:type="paragraph">
    <w:name w:val="header"/>
    <w:basedOn w:val="1"/>
    <w:link w:val="41"/>
    <w:qFormat/>
    <w:uiPriority w:val="0"/>
    <w:pPr>
      <w:tabs>
        <w:tab w:pos="4153" w:val="center"/>
        <w:tab w:pos="8306" w:val="right"/>
      </w:tabs>
      <w:snapToGrid w:val="0"/>
      <w:jc w:val="center"/>
    </w:pPr>
    <w:rPr>
      <w:sz w:val="18"/>
      <w:szCs w:val="18"/>
    </w:rPr>
  </w:style>
  <w:style w:styleId="18" w:type="paragraph">
    <w:name w:val="Subtitle"/>
    <w:basedOn w:val="19"/>
    <w:next w:val="3"/>
    <w:qFormat/>
    <w:uiPriority w:val="0"/>
    <w:pPr>
      <w:spacing w:before="240"/>
    </w:pPr>
    <w:rPr>
      <w:sz w:val="30"/>
      <w:szCs w:val="30"/>
    </w:rPr>
  </w:style>
  <w:style w:styleId="19" w:type="paragraph">
    <w:name w:val="Title"/>
    <w:basedOn w:val="1"/>
    <w:next w:val="3"/>
    <w:qFormat/>
    <w:uiPriority w:val="0"/>
    <w:pPr>
      <w:keepNext/>
      <w:keepLines/>
      <w:spacing w:after="240" w:before="480"/>
      <w:jc w:val="center"/>
    </w:pPr>
    <w:rPr>
      <w:rFonts w:asciiTheme="majorHAnsi" w:cstheme="majorBidi" w:eastAsiaTheme="majorEastAsia" w:hAnsiTheme="majorHAnsi"/>
      <w:b/>
      <w:bCs/>
      <w:color w:themeColor="accent1" w:themeShade="B5" w:val="345B8A"/>
      <w:sz w:val="36"/>
      <w:szCs w:val="36"/>
    </w:rPr>
  </w:style>
  <w:style w:styleId="20" w:type="paragraph">
    <w:name w:val="footnote text"/>
    <w:basedOn w:val="1"/>
    <w:unhideWhenUsed/>
    <w:qFormat/>
    <w:uiPriority w:val="9"/>
  </w:style>
  <w:style w:styleId="23" w:type="character">
    <w:name w:val="Hyperlink"/>
    <w:basedOn w:val="24"/>
    <w:qFormat/>
    <w:uiPriority w:val="0"/>
    <w:rPr>
      <w:rFonts w:ascii="Times New Roman" w:eastAsia="宋体" w:hAnsi="Times New Roman"/>
      <w:color w:val="0070C0"/>
    </w:rPr>
  </w:style>
  <w:style w:customStyle="1" w:styleId="24" w:type="character">
    <w:name w:val="题注 字符"/>
    <w:basedOn w:val="22"/>
    <w:link w:val="13"/>
    <w:qFormat/>
    <w:uiPriority w:val="0"/>
    <w:rPr>
      <w:rFonts w:ascii="Times New Roman" w:eastAsia="宋体" w:hAnsi="Times New Roman"/>
    </w:rPr>
  </w:style>
  <w:style w:styleId="25" w:type="character">
    <w:name w:val="footnote reference"/>
    <w:basedOn w:val="24"/>
    <w:qFormat/>
    <w:uiPriority w:val="0"/>
    <w:rPr>
      <w:rFonts w:ascii="Times New Roman" w:eastAsia="宋体" w:hAnsi="Times New Roman"/>
      <w:vertAlign w:val="superscript"/>
    </w:rPr>
  </w:style>
  <w:style w:customStyle="1" w:styleId="26" w:type="paragraph">
    <w:name w:val="Compact"/>
    <w:basedOn w:val="3"/>
    <w:qFormat/>
    <w:uiPriority w:val="0"/>
    <w:pPr>
      <w:spacing w:after="60" w:before="60"/>
      <w:ind w:firstLine="0" w:firstLineChars="0"/>
    </w:pPr>
  </w:style>
  <w:style w:customStyle="1" w:styleId="27" w:type="paragraph">
    <w:name w:val="Author"/>
    <w:next w:val="3"/>
    <w:qFormat/>
    <w:uiPriority w:val="0"/>
    <w:pPr>
      <w:keepNext/>
      <w:keepLines/>
      <w:spacing w:after="200"/>
      <w:jc w:val="center"/>
    </w:pPr>
    <w:rPr>
      <w:rFonts w:asciiTheme="minorHAnsi" w:cstheme="minorBidi" w:eastAsiaTheme="minorEastAsia" w:hAnsiTheme="minorHAnsi"/>
      <w:sz w:val="24"/>
      <w:szCs w:val="24"/>
      <w:lang w:bidi="ar-SA" w:eastAsia="en-US" w:val="en-US"/>
    </w:rPr>
  </w:style>
  <w:style w:customStyle="1" w:styleId="28" w:type="paragraph">
    <w:name w:val="Abstract"/>
    <w:basedOn w:val="1"/>
    <w:next w:val="3"/>
    <w:qFormat/>
    <w:uiPriority w:val="0"/>
    <w:pPr>
      <w:keepNext/>
      <w:keepLines/>
      <w:spacing w:after="300" w:before="300"/>
    </w:pPr>
    <w:rPr>
      <w:sz w:val="20"/>
      <w:szCs w:val="20"/>
    </w:rPr>
  </w:style>
  <w:style w:customStyle="1" w:styleId="29" w:type="paragraph">
    <w:name w:val="Bibliography"/>
    <w:basedOn w:val="1"/>
    <w:qFormat/>
    <w:uiPriority w:val="0"/>
    <w:pPr>
      <w:tabs>
        <w:tab w:pos="384" w:val="left"/>
      </w:tabs>
      <w:spacing w:line="240" w:lineRule="auto"/>
      <w:ind w:hanging="200" w:hangingChars="200" w:left="200"/>
    </w:pPr>
    <w:rPr>
      <w:rFonts w:ascii="Cambria Math" w:hAnsi="Cambria Math"/>
    </w:rPr>
  </w:style>
  <w:style w:customStyle="1" w:styleId="30" w:type="table">
    <w:name w:val="Table"/>
    <w:semiHidden/>
    <w:unhideWhenUsed/>
    <w:qFormat/>
    <w:uiPriority w:val="0"/>
    <w:pPr>
      <w:jc w:val="center"/>
    </w:pPr>
    <w:rPr>
      <w:rFonts w:ascii="Times New Roman" w:eastAsia="宋体" w:hAnsi="Times New Roman"/>
      <w:sz w:val="20"/>
      <w:szCs w:val="20"/>
      <w:lang w:eastAsia="zh-C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cPr>
        <w:tcBorders>
          <w:bottom w:color="auto" w:space="0" w:sz="4" w:val="single"/>
        </w:tcBorders>
      </w:tcPr>
    </w:tblStylePr>
  </w:style>
  <w:style w:customStyle="1" w:styleId="31" w:type="paragraph">
    <w:name w:val="Definition Term"/>
    <w:basedOn w:val="1"/>
    <w:next w:val="32"/>
    <w:qFormat/>
    <w:uiPriority w:val="0"/>
    <w:pPr>
      <w:keepNext/>
      <w:keepLines/>
    </w:pPr>
    <w:rPr>
      <w:b/>
    </w:rPr>
  </w:style>
  <w:style w:customStyle="1" w:styleId="32" w:type="paragraph">
    <w:name w:val="Definition"/>
    <w:basedOn w:val="1"/>
    <w:qFormat/>
    <w:uiPriority w:val="0"/>
  </w:style>
  <w:style w:customStyle="1" w:styleId="33" w:type="paragraph">
    <w:name w:val="Table Caption"/>
    <w:basedOn w:val="13"/>
    <w:qFormat/>
    <w:uiPriority w:val="0"/>
    <w:pPr>
      <w:keepNext/>
    </w:pPr>
  </w:style>
  <w:style w:customStyle="1" w:styleId="34" w:type="paragraph">
    <w:name w:val="Image Caption"/>
    <w:basedOn w:val="13"/>
    <w:qFormat/>
    <w:uiPriority w:val="0"/>
  </w:style>
  <w:style w:customStyle="1" w:styleId="35" w:type="paragraph">
    <w:name w:val="Figure"/>
    <w:basedOn w:val="1"/>
    <w:qFormat/>
    <w:uiPriority w:val="0"/>
  </w:style>
  <w:style w:customStyle="1" w:styleId="36" w:type="paragraph">
    <w:name w:val="Captioned Figure"/>
    <w:basedOn w:val="35"/>
    <w:qFormat/>
    <w:uiPriority w:val="0"/>
    <w:pPr>
      <w:keepNext/>
    </w:pPr>
  </w:style>
  <w:style w:customStyle="1" w:styleId="37" w:type="character">
    <w:name w:val="Verbatim Char"/>
    <w:basedOn w:val="24"/>
    <w:link w:val="38"/>
    <w:qFormat/>
    <w:uiPriority w:val="0"/>
    <w:rPr>
      <w:rFonts w:ascii="宋体" w:cs="Times New Roman (正文 CS 字体)" w:eastAsia="宋体" w:hAnsi="宋体"/>
      <w:color w:themeColor="text1" w:themeTint="BF" w:val="404040"/>
      <w:sz w:val="21"/>
      <w:shd w:color="F3F4F4" w:fill="F1F1F1" w:themeFill="background1" w:themeFillShade="F2" w:val="solid"/>
      <w:lang w:eastAsia="zh-CN"/>
      <w14:textFill>
        <w14:solidFill>
          <w14:schemeClr w14:val="tx1">
            <w14:lumMod w14:val="75000"/>
            <w14:lumOff w14:val="25000"/>
          </w14:schemeClr>
        </w14:solidFill>
      </w14:textFill>
    </w:rPr>
  </w:style>
  <w:style w:customStyle="1" w:styleId="38" w:type="paragraph">
    <w:name w:val="Source Code"/>
    <w:basedOn w:val="1"/>
    <w:link w:val="37"/>
    <w:qFormat/>
    <w:uiPriority w:val="0"/>
    <w:pPr>
      <w:pBdr>
        <w:top w:color="BEBEBE" w:space="10" w:sz="8" w:themeColor="background1" w:themeShade="BF" w:val="single"/>
        <w:left w:color="BEBEBE" w:space="10" w:sz="8" w:themeColor="background1" w:themeShade="BF" w:val="single"/>
        <w:bottom w:color="BEBEBE" w:space="10" w:sz="8" w:themeColor="background1" w:themeShade="BF" w:val="single"/>
        <w:right w:color="BEBEBE" w:space="10" w:sz="8" w:themeColor="background1" w:themeShade="BF" w:val="single"/>
      </w:pBdr>
      <w:shd w:color="F3F4F4" w:fill="F1F1F1"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14:textFill>
        <w14:solidFill>
          <w14:schemeClr w14:val="tx1">
            <w14:lumMod w14:val="75000"/>
            <w14:lumOff w14:val="25000"/>
          </w14:schemeClr>
        </w14:solidFill>
      </w14:textFill>
    </w:rPr>
  </w:style>
  <w:style w:customStyle="1" w:styleId="39" w:type="paragraph">
    <w:name w:val="TOC Heading"/>
    <w:basedOn w:val="2"/>
    <w:next w:val="3"/>
    <w:unhideWhenUsed/>
    <w:qFormat/>
    <w:uiPriority w:val="39"/>
    <w:pPr>
      <w:spacing w:before="240" w:line="259" w:lineRule="auto"/>
      <w:outlineLvl w:val="9"/>
    </w:pPr>
    <w:rPr>
      <w:b w:val="0"/>
      <w:bCs w:val="0"/>
      <w:color w:themeColor="accent1" w:themeShade="BF" w:val="376092"/>
    </w:rPr>
  </w:style>
  <w:style w:customStyle="1" w:styleId="40" w:type="character">
    <w:name w:val="正文文本 字符"/>
    <w:basedOn w:val="22"/>
    <w:link w:val="3"/>
    <w:qFormat/>
    <w:uiPriority w:val="0"/>
    <w:rPr>
      <w:rFonts w:ascii="Cambria Math" w:eastAsia="Cambria Math" w:hAnsi="Cambria Math"/>
      <w:lang w:eastAsia="zh-CN"/>
    </w:rPr>
  </w:style>
  <w:style w:customStyle="1" w:styleId="41" w:type="character">
    <w:name w:val="页眉 字符"/>
    <w:basedOn w:val="22"/>
    <w:link w:val="17"/>
    <w:qFormat/>
    <w:uiPriority w:val="0"/>
    <w:rPr>
      <w:sz w:val="18"/>
      <w:szCs w:val="18"/>
    </w:rPr>
  </w:style>
  <w:style w:customStyle="1" w:styleId="42" w:type="character">
    <w:name w:val="页脚 字符"/>
    <w:basedOn w:val="22"/>
    <w:link w:val="16"/>
    <w:qFormat/>
    <w:uiPriority w:val="99"/>
    <w:rPr>
      <w:sz w:val="18"/>
      <w:szCs w:val="18"/>
    </w:rPr>
  </w:style>
  <w:style w:customStyle="1" w:styleId="43" w:type="paragraph">
    <w:name w:val="图片"/>
    <w:basedOn w:val="4"/>
    <w:qFormat/>
    <w:uiPriority w:val="0"/>
    <w:pPr>
      <w:keepNext/>
      <w:jc w:val="center"/>
    </w:pPr>
  </w:style>
  <w:style w:customStyle="1" w:styleId="44" w:type="paragraph">
    <w:name w:val="样式 Compact + 10 磅 首行缩进:  0.71 厘米"/>
    <w:basedOn w:val="26"/>
    <w:qFormat/>
    <w:uiPriority w:val="0"/>
    <w:rPr>
      <w:rFonts w:cs="宋体"/>
      <w:sz w:val="20"/>
      <w:szCs w:val="20"/>
    </w:rPr>
  </w:style>
  <w:style w:customStyle="1" w:styleId="45" w:type="paragraph">
    <w:name w:val="样式 Compact + 10 磅 加粗 首行缩进:  0.71 厘米"/>
    <w:basedOn w:val="26"/>
    <w:qFormat/>
    <w:uiPriority w:val="0"/>
    <w:rPr>
      <w:rFonts w:cs="宋体"/>
      <w:bCs/>
      <w:sz w:val="20"/>
      <w:szCs w:val="20"/>
    </w:rPr>
  </w:style>
  <w:style w:customStyle="1" w:styleId="46" w:type="paragraph">
    <w:name w:val="img"/>
    <w:basedOn w:val="1"/>
    <w:qFormat/>
    <w:uiPriority w:val="0"/>
    <w:pPr>
      <w:jc w:val="center"/>
    </w:pPr>
    <w:rP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901</Words>
  <Characters>1341</Characters>
  <Lines>30</Lines>
  <Paragraphs>8</Paragraphs>
  <TotalTime>72</TotalTime>
  <ScaleCrop>false</ScaleCrop>
  <LinksUpToDate>false</LinksUpToDate>
  <CharactersWithSpaces>1447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2026-02-12T03:04:27Z</dcterms:created>
  <dcterms:modified xsi:type="dcterms:W3CDTF">2026-02-12T03:04:27Z</dcterms:modified>
</cp:coreProperties>
</file>

<file path=docProps/custom.xml><?xml version="1.0" encoding="utf-8"?>
<Properties xmlns="http://schemas.openxmlformats.org/officeDocument/2006/custom-properties" xmlns:vt="http://schemas.openxmlformats.org/officeDocument/2006/docPropsVTypes"/>
</file>