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B8902E"/>
          <w:spacing w:val="30"/>
          <w:sz w:val="19"/>
          <w:szCs w:val="19"/>
        </w:rPr>
        <w:t xml:space="preserve">GOLD LAW, P.A.  ·  OPERATIONAL MANUAL</w:t>
      </w:r>
    </w:p>
    <w:p>
      <w:pPr>
        <w:pBdr>
          <w:bottom w:val="single" w:color="B8902E" w:sz="18" w:space="1"/>
        </w:pBdr>
        <w:spacing w:after="160" w:before="60"/>
      </w:pPr>
    </w:p>
    <w:p>
      <w:pPr>
        <w:spacing w:after="30"/>
      </w:pPr>
      <w:r>
        <w:rPr>
          <w:b/>
          <w:bCs/>
          <w:color w:val="1C1C1E"/>
          <w:sz w:val="48"/>
          <w:szCs w:val="48"/>
        </w:rPr>
        <w:t xml:space="preserve">Intake Screening SOP</w:t>
      </w:r>
    </w:p>
    <w:p>
      <w:pPr>
        <w:spacing w:after="160"/>
      </w:pPr>
      <w:r>
        <w:rPr>
          <w:color w:val="1C1C1E"/>
          <w:sz w:val="26"/>
          <w:szCs w:val="26"/>
        </w:rPr>
        <w:t xml:space="preserve">Identifying TCPA, FDCPA &amp; Florida-Analog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6E6A63"/>
                <w:sz w:val="20"/>
                <w:szCs w:val="20"/>
              </w:rPr>
              <w:t xml:space="preserve">SOP</w:t>
            </w:r>
          </w:p>
        </w:tc>
        <w:tc>
          <w:tcPr>
            <w:tcW w:type="dxa" w:w="716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Consumer-Protection Intake Screening</w:t>
            </w:r>
          </w:p>
        </w:tc>
      </w:tr>
      <w:tr>
        <w:tc>
          <w:tcPr>
            <w:tcW w:type="dxa" w:w="220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6E6A63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Christopher Gold, Esq.</w:t>
            </w:r>
          </w:p>
        </w:tc>
      </w:tr>
      <w:tr>
        <w:tc>
          <w:tcPr>
            <w:tcW w:type="dxa" w:w="220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6E6A63"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Intake team (non-attorney staff)</w:t>
            </w:r>
          </w:p>
        </w:tc>
      </w:tr>
      <w:tr>
        <w:tc>
          <w:tcPr>
            <w:tcW w:type="dxa" w:w="220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6E6A63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1.1 — DRAFT</w:t>
            </w:r>
          </w:p>
        </w:tc>
      </w:tr>
      <w:tr>
        <w:tc>
          <w:tcPr>
            <w:tcW w:type="dxa" w:w="220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6E6A63"/>
                <w:sz w:val="20"/>
                <w:szCs w:val="20"/>
              </w:rPr>
              <w:t xml:space="preserve">Use</w:t>
            </w:r>
          </w:p>
        </w:tc>
        <w:tc>
          <w:tcPr>
            <w:tcW w:type="dxa" w:w="716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C1C1E"/>
                <w:sz w:val="20"/>
                <w:szCs w:val="20"/>
              </w:rPr>
              <w:t xml:space="preserve">Internal only. Screening guide, not legal advice to clients.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 Purpose</w:t>
      </w:r>
    </w:p>
    <w:p>
      <w:pPr>
        <w:spacing w:after="120" w:line="276"/>
      </w:pPr>
      <w:r>
        <w:t xml:space="preserve">When a potential client describes unwanted calls or texts, your job at intake is to decide quickly whether they likely have a claim worth pursuing. This SOP gives you a repeatable, two-step method: first classify the message, then run it through four screens. If any screen hits, flag the lead, collect the listed evidence, and route it to the correct pipeline.</w:t>
      </w:r>
    </w:p>
    <w:p>
      <w:pPr>
        <w:pStyle w:val="Heading1"/>
      </w:pPr>
      <w:r>
        <w:t xml:space="preserve">2.  First Gate — The 4-Year Clock</w:t>
      </w:r>
    </w:p>
    <w:p>
      <w:pPr>
        <w:spacing w:after="120" w:line="276"/>
      </w:pPr>
      <w:r>
        <w:t xml:space="preserve">Before you classify anything, check the date. The TCPA has a </w:t>
      </w:r>
      <w:r>
        <w:rPr>
          <w:b/>
          <w:bCs/>
        </w:rPr>
        <w:t xml:space="preserve">four-year statute of limitations</w:t>
      </w:r>
      <w:r>
        <w:t xml:space="preserve">, so we can only pursue conduct from the last four years. Run this gate first — a time-barred lead is rejected no matter how strong the violation looks.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E3C9B8" w:sz="2"/>
              <w:left w:val="single" w:color="A8552E" w:sz="32"/>
              <w:bottom w:val="single" w:color="E3C9B8" w:sz="2"/>
              <w:right w:val="single" w:color="E3C9B8" w:sz="2"/>
            </w:tcBorders>
            <w:shd w:fill="F6E9E1" w:color="auto" w:val="clear"/>
            <w:tcMar>
              <w:top w:type="dxa" w:w="130"/>
              <w:left w:type="dxa" w:w="220"/>
              <w:bottom w:type="dxa" w:w="130"/>
              <w:right w:type="dxa" w:w="170"/>
            </w:tcMar>
          </w:tcPr>
          <w:p>
            <w:pPr>
              <w:spacing w:after="90"/>
            </w:pPr>
            <w:r>
              <w:rPr>
                <w:b/>
                <w:bCs/>
                <w:color w:val="A8552E"/>
                <w:spacing w:val="24"/>
                <w:sz w:val="19"/>
                <w:szCs w:val="19"/>
              </w:rPr>
              <w:t xml:space="preserve">THE RULE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t xml:space="preserve">Measure from the </w:t>
            </w:r>
            <w:r>
              <w:rPr>
                <w:b/>
                <w:bCs/>
              </w:rPr>
              <w:t xml:space="preserve">date of receipt</w:t>
            </w:r>
            <w:r>
              <w:t xml:space="preserve"> of each qualifying voicemail or text — the clock runs from when the consumer got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t xml:space="preserve">More than 4 years old → </w:t>
            </w:r>
            <w:r>
              <w:rPr>
                <w:b/>
                <w:bCs/>
                <w:color w:val="A8552E"/>
              </w:rPr>
              <w:t xml:space="preserve">automatic rejection.</w:t>
            </w:r>
            <w:r>
              <w:t xml:space="preserve"> The claim is time-barred; we cannot take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t xml:space="preserve">Within a few days of the 4-year cutoff → </w:t>
            </w:r>
            <w:r>
              <w:rPr>
                <w:b/>
                <w:bCs/>
                <w:color w:val="A8552E"/>
              </w:rPr>
              <w:t xml:space="preserve">also rejected.</w:t>
            </w:r>
            <w:r>
              <w:t xml:space="preserve"> We cannot move fast enough to file before the deadline runs.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64"/>
            </w:pPr>
            <w:r>
              <w:t xml:space="preserve">Only contacts inside the 4-year window count. If every qualifying message is too old, reject the lead even when the conduct was otherwise a clear violation.</w:t>
            </w:r>
          </w:p>
          <w:p>
            <w:pPr>
              <w:spacing w:after="0" w:before="30" w:line="264"/>
            </w:pPr>
            <w:r>
              <w:rPr>
                <w:b/>
                <w:bCs/>
                <w:color w:val="A8552E"/>
                <w:spacing w:val="24"/>
                <w:sz w:val="19"/>
                <w:szCs w:val="19"/>
              </w:rPr>
              <w:t xml:space="preserve">NOTIFY IMMEDIATELY.  </w:t>
            </w:r>
            <w:r>
              <w:rPr>
                <w:sz w:val="21"/>
                <w:szCs w:val="21"/>
              </w:rPr>
              <w:t xml:space="preserve">The moment you spot a statute-of-limitations problem, flag the lead and tell them right away — do not let an SOL rejection sit in the queue. Prompt notice lets them seek other counsel while they still can.</w:t>
            </w:r>
          </w:p>
        </w:tc>
      </w:tr>
    </w:tbl>
    <w:p>
      <w:pPr>
        <w:spacing w:after="150"/>
      </w:pPr>
    </w:p>
    <w:p>
      <w:pPr>
        <w:pStyle w:val="Heading1"/>
      </w:pPr>
      <w:r>
        <w:t xml:space="preserve">3.  Critical Rules — Do Not Miss These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Check the 4-year clock first. </w:t>
      </w:r>
      <w:r>
        <w:t xml:space="preserve">The TCPA statute of limitations is four years from the date of receipt. Anything older — or within a few days of the cutoff — is rejected, and the lead must be notified immediately.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The opt-out confirmation never counts. </w:t>
      </w:r>
      <w:r>
        <w:t xml:space="preserve">A single automated “you’ve been opted out” reply is allowed and is not the violation.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The 24-hour buffer is our cushion, not the law. </w:t>
      </w:r>
      <w:r>
        <w:t xml:space="preserve">We wait at least a day before counting a follow-up message so weak files stay out of the pipeline.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Debt-collection “stop” covers every channel. </w:t>
      </w:r>
      <w:r>
        <w:t xml:space="preserve">Once a consumer says stop, any later contact violates — a call or email counts even with no further texts.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Always verify Do-Not-Call registration through the API. </w:t>
      </w:r>
      <w:r>
        <w:t xml:space="preserve">Never rely on the client’s belief that their number is on the list.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Debt collection rides a separate track. </w:t>
      </w:r>
      <w:r>
        <w:t xml:space="preserve">It is an FDCPA / Florida matter, not TCPA. Route it to its own pipeline — do not run it down the TCPA path.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“Marketing” does not need a hard sell. </w:t>
      </w:r>
      <w:r>
        <w:t xml:space="preserve">If the funnel ends in a pitch (e.g., a “free webinar”), the message is telemarketing — even if it only offered something free.</w:t>
      </w:r>
    </w:p>
    <w:p>
      <w:pPr>
        <w:pStyle w:val="Heading1"/>
      </w:pPr>
      <w:r>
        <w:t xml:space="preserve">4.  The Two-Step Workflow</w:t>
      </w:r>
    </w:p>
    <w:p>
      <w:pPr>
        <w:pStyle w:val="Heading2"/>
      </w:pPr>
      <w:r>
        <w:t xml:space="preserve">Step 1 — Classify the Message</w:t>
      </w:r>
    </w:p>
    <w:p>
      <w:pPr>
        <w:spacing w:after="120" w:line="276"/>
      </w:pPr>
      <w:r>
        <w:t xml:space="preserve">This is the gate. The message type decides which screens apply and which pipeline the case goes down. Get this right first.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5605C"/>
          <w:sz w:val="21"/>
          <w:szCs w:val="21"/>
        </w:rPr>
        <w:t xml:space="preserve">Telemarketing</w:t>
      </w:r>
      <w:r>
        <w:t xml:space="preserve"> — the purpose is to sell a product or service, now or eventually. A “free webinar” or freebie that pitches at the end still counts. Routes to the TCPA track (FTSA overlay if Florida).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A8552E"/>
          <w:sz w:val="21"/>
          <w:szCs w:val="21"/>
        </w:rPr>
        <w:t xml:space="preserve">Debt collection</w:t>
      </w:r>
      <w:r>
        <w:t xml:space="preserve"> — someone trying to collect money the consumer supposedly owes. Different statutes, different pipeline — but we still take these. Routes to the FDCPA + Florida track.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6E6A63"/>
          <w:sz w:val="21"/>
          <w:szCs w:val="21"/>
        </w:rPr>
        <w:t xml:space="preserve">Informational</w:t>
      </w:r>
      <w:r>
        <w:t xml:space="preserve"> — a pure notice with no sales purpose (appointment reminder, shipping update, account alert). No claim; decline unless something else surfaces.</w:t>
      </w:r>
    </w:p>
    <w:p>
      <w:pPr>
        <w:pStyle w:val="Heading2"/>
      </w:pPr>
      <w:r>
        <w:t xml:space="preserve">Step 2 — Run the Four Screens</w:t>
      </w:r>
    </w:p>
    <w:p>
      <w:pPr>
        <w:spacing w:after="120" w:line="276"/>
      </w:pPr>
      <w:r>
        <w:t xml:space="preserve">Check the classified message against each screen below.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color w:val="B8902E"/>
          <w:sz w:val="20"/>
          <w:szCs w:val="20"/>
        </w:rPr>
        <w:t xml:space="preserve">SCREEN 01  </w:t>
      </w:r>
      <w:r>
        <w:rPr>
          <w:rFonts w:ascii="Times New Roman" w:cs="Times New Roman" w:eastAsia="Times New Roman" w:hAnsi="Times New Roman"/>
          <w:b/>
          <w:bCs/>
          <w:color w:val="1C1C1E"/>
          <w:sz w:val="26"/>
          <w:szCs w:val="26"/>
        </w:rPr>
        <w:t xml:space="preserve">Prerecorded Voice</w:t>
      </w:r>
    </w:p>
    <w:p>
      <w:pPr>
        <w:spacing w:after="90"/>
      </w:pPr>
      <w:r>
        <w:rPr>
          <w:i/>
          <w:iCs/>
          <w:color w:val="6E6A63"/>
          <w:sz w:val="21"/>
          <w:szCs w:val="21"/>
        </w:rPr>
        <w:t xml:space="preserve">The easiest one — if it’s a robot voicemail, you’re done.</w:t>
      </w:r>
    </w:p>
    <w:p>
      <w:pPr>
        <w:spacing w:after="90" w:line="276"/>
      </w:pPr>
      <w:r>
        <w:t xml:space="preserve">The consumer received a voicemail that is </w:t>
      </w:r>
      <w:r>
        <w:rPr>
          <w:b/>
          <w:bCs/>
        </w:rPr>
        <w:t xml:space="preserve">pre-recorded or uses an artificial / robotic voice</w:t>
      </w:r>
      <w:r>
        <w:t xml:space="preserve"> — not a live person. A single prerecorded voicemail is the violation by itself.</w:t>
      </w:r>
    </w:p>
    <w:p>
      <w:pPr>
        <w:spacing w:after="70"/>
      </w:pPr>
      <w:r>
        <w:rPr>
          <w:b/>
          <w:bCs/>
          <w:sz w:val="21"/>
          <w:szCs w:val="21"/>
        </w:rPr>
        <w:t xml:space="preserve">Trigger:  </w:t>
      </w:r>
      <w:r>
        <w:rPr>
          <w:rFonts w:ascii="Courier New" w:cs="Courier New" w:eastAsia="Courier New" w:hAnsi="Courier New"/>
          <w:color w:val="1C1C1E"/>
          <w:sz w:val="21"/>
          <w:szCs w:val="21"/>
        </w:rPr>
        <w:t xml:space="preserve">1 prerecorded voicemail</w:t>
      </w:r>
    </w:p>
    <w:p>
      <w:pPr>
        <w:spacing w:after="70"/>
      </w:pPr>
      <w:r>
        <w:rPr>
          <w:b/>
          <w:bCs/>
          <w:sz w:val="21"/>
          <w:szCs w:val="21"/>
        </w:rPr>
        <w:t xml:space="preserve">Applies to:  </w:t>
      </w:r>
      <w:r>
        <w:rPr>
          <w:b/>
          <w:bCs/>
          <w:color w:val="6E6A63"/>
          <w:sz w:val="21"/>
          <w:szCs w:val="21"/>
        </w:rPr>
        <w:t xml:space="preserve">Any call </w:t>
      </w:r>
      <w:r>
        <w:rPr>
          <w:sz w:val="21"/>
          <w:szCs w:val="21"/>
        </w:rPr>
        <w:t xml:space="preserve">(the recording itself is the violation).</w:t>
      </w:r>
    </w:p>
    <w:p>
      <w:pPr>
        <w:spacing w:after="70"/>
      </w:pPr>
      <w:r>
        <w:rPr>
          <w:b/>
          <w:bCs/>
          <w:sz w:val="21"/>
          <w:szCs w:val="21"/>
        </w:rPr>
        <w:t xml:space="preserve">Route:  </w:t>
      </w:r>
      <w:r>
        <w:rPr>
          <w:b/>
          <w:bCs/>
          <w:color w:val="15605C"/>
          <w:sz w:val="21"/>
          <w:szCs w:val="21"/>
        </w:rPr>
        <w:t xml:space="preserve">TCPA.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Evidence to collect:  </w:t>
      </w:r>
      <w:r>
        <w:rPr>
          <w:sz w:val="21"/>
          <w:szCs w:val="21"/>
        </w:rPr>
        <w:t xml:space="preserve">The voicemail audio (or a recording / screen capture), the caller’s number, and the date &amp; time.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color w:val="B8902E"/>
          <w:sz w:val="20"/>
          <w:szCs w:val="20"/>
        </w:rPr>
        <w:t xml:space="preserve">SCREEN 02  </w:t>
      </w:r>
      <w:r>
        <w:rPr>
          <w:rFonts w:ascii="Times New Roman" w:cs="Times New Roman" w:eastAsia="Times New Roman" w:hAnsi="Times New Roman"/>
          <w:b/>
          <w:bCs/>
          <w:color w:val="1C1C1E"/>
          <w:sz w:val="26"/>
          <w:szCs w:val="26"/>
        </w:rPr>
        <w:t xml:space="preserve">Failure to Stop (Internal Do-Not-Call / IDNC)</w:t>
      </w:r>
    </w:p>
    <w:p>
      <w:pPr>
        <w:spacing w:after="90"/>
      </w:pPr>
      <w:r>
        <w:rPr>
          <w:i/>
          <w:iCs/>
          <w:color w:val="6E6A63"/>
          <w:sz w:val="21"/>
          <w:szCs w:val="21"/>
        </w:rPr>
        <w:t xml:space="preserve">They told them to stop, and they kept going.</w:t>
      </w:r>
    </w:p>
    <w:p>
      <w:pPr>
        <w:spacing w:after="90" w:line="276"/>
      </w:pPr>
      <w:r>
        <w:t xml:space="preserve">The consumer sent </w:t>
      </w:r>
      <w:r>
        <w:rPr>
          <w:b/>
          <w:bCs/>
        </w:rPr>
        <w:t xml:space="preserve">any reasonable opt-out</w:t>
      </w:r>
      <w:r>
        <w:t xml:space="preserve"> — “STOP,” “unsubscribe,” “no more,” “remove me” — and was contacted again anyway. One automated confirmation is allowed and does </w:t>
      </w:r>
      <w:r>
        <w:rPr>
          <w:b/>
          <w:bCs/>
          <w:i/>
          <w:iCs/>
        </w:rPr>
        <w:t xml:space="preserve">not</w:t>
      </w:r>
      <w:r>
        <w:t xml:space="preserve"> count.</w:t>
      </w:r>
    </w:p>
    <w:p>
      <w:pPr>
        <w:spacing w:after="70"/>
      </w:pPr>
      <w:r>
        <w:rPr>
          <w:b/>
          <w:bCs/>
          <w:sz w:val="21"/>
          <w:szCs w:val="21"/>
        </w:rPr>
        <w:t xml:space="preserve">Trigger:  </w:t>
      </w:r>
      <w:r>
        <w:rPr>
          <w:rFonts w:ascii="Courier New" w:cs="Courier New" w:eastAsia="Courier New" w:hAnsi="Courier New"/>
          <w:color w:val="1C1C1E"/>
          <w:sz w:val="21"/>
          <w:szCs w:val="21"/>
        </w:rPr>
        <w:t xml:space="preserve">opt-out + 1 more message (24h+)</w:t>
      </w:r>
    </w:p>
    <w:p>
      <w:pPr>
        <w:spacing w:after="70"/>
      </w:pPr>
      <w:r>
        <w:rPr>
          <w:b/>
          <w:bCs/>
          <w:sz w:val="21"/>
          <w:szCs w:val="21"/>
        </w:rPr>
        <w:t xml:space="preserve">Applies to:  </w:t>
      </w:r>
      <w:r>
        <w:rPr>
          <w:b/>
          <w:bCs/>
          <w:color w:val="15605C"/>
          <w:sz w:val="21"/>
          <w:szCs w:val="21"/>
        </w:rPr>
        <w:t xml:space="preserve">Marketing → TCPA</w:t>
      </w:r>
      <w:r>
        <w:rPr>
          <w:sz w:val="21"/>
          <w:szCs w:val="21"/>
        </w:rPr>
        <w:t xml:space="preserve">   ·   </w:t>
      </w:r>
      <w:r>
        <w:rPr>
          <w:b/>
          <w:bCs/>
          <w:color w:val="A8552E"/>
          <w:sz w:val="21"/>
          <w:szCs w:val="21"/>
        </w:rPr>
        <w:t xml:space="preserve">Debt collection → FDCPA + Florida</w:t>
      </w:r>
    </w:p>
    <w:p>
      <w:pPr>
        <w:spacing w:after="70"/>
      </w:pPr>
      <w:r>
        <w:rPr>
          <w:b/>
          <w:bCs/>
          <w:sz w:val="21"/>
          <w:szCs w:val="21"/>
        </w:rPr>
        <w:t xml:space="preserve">Route:  </w:t>
      </w:r>
      <w:r>
        <w:rPr>
          <w:b/>
          <w:bCs/>
          <w:color w:val="15605C"/>
          <w:sz w:val="21"/>
          <w:szCs w:val="21"/>
        </w:rPr>
        <w:t xml:space="preserve">TCPA</w:t>
      </w:r>
      <w:r>
        <w:rPr>
          <w:sz w:val="21"/>
          <w:szCs w:val="21"/>
        </w:rPr>
        <w:t xml:space="preserve"> for marketing; </w:t>
      </w:r>
      <w:r>
        <w:rPr>
          <w:b/>
          <w:bCs/>
          <w:color w:val="A8552E"/>
          <w:sz w:val="21"/>
          <w:szCs w:val="21"/>
        </w:rPr>
        <w:t xml:space="preserve">FDCPA + Florida</w:t>
      </w:r>
      <w:r>
        <w:rPr>
          <w:sz w:val="21"/>
          <w:szCs w:val="21"/>
        </w:rPr>
        <w:t xml:space="preserve"> for debt collection (separate pipeline).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Evidence to collect:  </w:t>
      </w:r>
      <w:r>
        <w:rPr>
          <w:sz w:val="21"/>
          <w:szCs w:val="21"/>
        </w:rPr>
        <w:t xml:space="preserve">Screenshots showing the opt-out message, the timestamps, and every message after it (including the confirmation text).</w:t>
      </w:r>
    </w:p>
    <w:p>
      <w:pPr>
        <w:spacing w:after="60" w:before="40"/>
      </w:pPr>
      <w:r>
        <w:rPr>
          <w:b/>
          <w:bCs/>
          <w:sz w:val="21"/>
          <w:szCs w:val="21"/>
        </w:rPr>
        <w:t xml:space="preserve">How it plays out: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Consumer replies “STOP.”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One confirmation text arrives — allowed, does not count.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We wait at least 24 hours (our buffer).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Another marketing message arrives after that → </w:t>
      </w:r>
      <w:r>
        <w:rPr>
          <w:b/>
          <w:bCs/>
          <w:color w:val="A8552E"/>
        </w:rPr>
        <w:t xml:space="preserve">violation.</w:t>
      </w:r>
    </w:p>
    <w:p>
      <w:pPr>
        <w:spacing w:after="60" w:line="276"/>
      </w:pPr>
      <w:r>
        <w:rPr>
          <w:b/>
          <w:bCs/>
        </w:rPr>
        <w:t xml:space="preserve">Debt collection is broader: </w:t>
      </w:r>
      <w:r>
        <w:t xml:space="preserve">once the consumer says stop, any further contact counts — a call or an email violates too, even with zero further texts.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color w:val="B8902E"/>
          <w:sz w:val="20"/>
          <w:szCs w:val="20"/>
        </w:rPr>
        <w:t xml:space="preserve">SCREEN 03  </w:t>
      </w:r>
      <w:r>
        <w:rPr>
          <w:rFonts w:ascii="Times New Roman" w:cs="Times New Roman" w:eastAsia="Times New Roman" w:hAnsi="Times New Roman"/>
          <w:b/>
          <w:bCs/>
          <w:color w:val="1C1C1E"/>
          <w:sz w:val="26"/>
          <w:szCs w:val="26"/>
        </w:rPr>
        <w:t xml:space="preserve">Quiet Hours</w:t>
      </w:r>
    </w:p>
    <w:p>
      <w:pPr>
        <w:spacing w:after="90"/>
      </w:pPr>
      <w:r>
        <w:rPr>
          <w:i/>
          <w:iCs/>
          <w:color w:val="6E6A63"/>
          <w:sz w:val="21"/>
          <w:szCs w:val="21"/>
        </w:rPr>
        <w:t xml:space="preserve">Contacting people in the middle of the night.</w:t>
      </w:r>
    </w:p>
    <w:p>
      <w:pPr>
        <w:spacing w:after="90" w:line="276"/>
      </w:pPr>
      <w:r>
        <w:t xml:space="preserve">They called or texted the consumer </w:t>
      </w:r>
      <w:r>
        <w:rPr>
          <w:b/>
          <w:bCs/>
        </w:rPr>
        <w:t xml:space="preserve">before 8:00 AM or after 9:00 PM</w:t>
      </w:r>
      <w:r>
        <w:t xml:space="preserve"> (the consumer’s local time) — at least twice inside that window.</w:t>
      </w:r>
    </w:p>
    <w:p>
      <w:pPr>
        <w:spacing w:after="70"/>
      </w:pPr>
      <w:r>
        <w:rPr>
          <w:b/>
          <w:bCs/>
          <w:sz w:val="21"/>
          <w:szCs w:val="21"/>
        </w:rPr>
        <w:t xml:space="preserve">Trigger:  </w:t>
      </w:r>
      <w:r>
        <w:rPr>
          <w:rFonts w:ascii="Courier New" w:cs="Courier New" w:eastAsia="Courier New" w:hAnsi="Courier New"/>
          <w:color w:val="1C1C1E"/>
          <w:sz w:val="21"/>
          <w:szCs w:val="21"/>
        </w:rPr>
        <w:t xml:space="preserve">2+ contacts between 9:00 PM and 8:00 AM</w:t>
      </w:r>
    </w:p>
    <w:p>
      <w:pPr>
        <w:spacing w:after="70"/>
      </w:pPr>
      <w:r>
        <w:rPr>
          <w:b/>
          <w:bCs/>
          <w:sz w:val="21"/>
          <w:szCs w:val="21"/>
        </w:rPr>
        <w:t xml:space="preserve">Applies to:  </w:t>
      </w:r>
      <w:r>
        <w:rPr>
          <w:b/>
          <w:bCs/>
          <w:color w:val="15605C"/>
          <w:sz w:val="21"/>
          <w:szCs w:val="21"/>
        </w:rPr>
        <w:t xml:space="preserve">Marketing → TCPA</w:t>
      </w:r>
      <w:r>
        <w:rPr>
          <w:sz w:val="21"/>
          <w:szCs w:val="21"/>
        </w:rPr>
        <w:t xml:space="preserve">   ·   </w:t>
      </w:r>
      <w:r>
        <w:rPr>
          <w:b/>
          <w:bCs/>
          <w:color w:val="A8552E"/>
          <w:sz w:val="21"/>
          <w:szCs w:val="21"/>
        </w:rPr>
        <w:t xml:space="preserve">Debt collection → Florida law</w:t>
      </w:r>
    </w:p>
    <w:p>
      <w:pPr>
        <w:spacing w:after="70"/>
      </w:pPr>
      <w:r>
        <w:rPr>
          <w:b/>
          <w:bCs/>
          <w:sz w:val="21"/>
          <w:szCs w:val="21"/>
        </w:rPr>
        <w:t xml:space="preserve">Route:  </w:t>
      </w:r>
      <w:r>
        <w:rPr>
          <w:b/>
          <w:bCs/>
          <w:color w:val="15605C"/>
          <w:sz w:val="21"/>
          <w:szCs w:val="21"/>
        </w:rPr>
        <w:t xml:space="preserve">TCPA</w:t>
      </w:r>
      <w:r>
        <w:rPr>
          <w:sz w:val="21"/>
          <w:szCs w:val="21"/>
        </w:rPr>
        <w:t xml:space="preserve"> for marketing; </w:t>
      </w:r>
      <w:r>
        <w:rPr>
          <w:b/>
          <w:bCs/>
          <w:color w:val="A8552E"/>
          <w:sz w:val="21"/>
          <w:szCs w:val="21"/>
        </w:rPr>
        <w:t xml:space="preserve">Florida law</w:t>
      </w:r>
      <w:r>
        <w:rPr>
          <w:sz w:val="21"/>
          <w:szCs w:val="21"/>
        </w:rPr>
        <w:t xml:space="preserve"> for debt collection.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Evidence to collect:  </w:t>
      </w:r>
      <w:r>
        <w:rPr>
          <w:sz w:val="21"/>
          <w:szCs w:val="21"/>
        </w:rPr>
        <w:t xml:space="preserve">Screenshots or call logs with timestamps showing 2+ contacts inside the quiet-hours window.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color w:val="B8902E"/>
          <w:sz w:val="20"/>
          <w:szCs w:val="20"/>
        </w:rPr>
        <w:t xml:space="preserve">SCREEN 04  </w:t>
      </w:r>
      <w:r>
        <w:rPr>
          <w:rFonts w:ascii="Times New Roman" w:cs="Times New Roman" w:eastAsia="Times New Roman" w:hAnsi="Times New Roman"/>
          <w:b/>
          <w:bCs/>
          <w:color w:val="1C1C1E"/>
          <w:sz w:val="26"/>
          <w:szCs w:val="26"/>
        </w:rPr>
        <w:t xml:space="preserve">Do-Not-Call Registry</w:t>
      </w:r>
    </w:p>
    <w:p>
      <w:pPr>
        <w:spacing w:after="90"/>
      </w:pPr>
      <w:r>
        <w:rPr>
          <w:i/>
          <w:iCs/>
          <w:color w:val="6E6A63"/>
          <w:sz w:val="21"/>
          <w:szCs w:val="21"/>
        </w:rPr>
        <w:t xml:space="preserve">Their number is on a list — and a telemarketer hit them anyway.</w:t>
      </w:r>
    </w:p>
    <w:p>
      <w:pPr>
        <w:spacing w:after="90" w:line="276"/>
      </w:pPr>
      <w:r>
        <w:t xml:space="preserve">Telemarketing </w:t>
      </w:r>
      <w:r>
        <w:rPr>
          <w:b/>
          <w:bCs/>
        </w:rPr>
        <w:t xml:space="preserve">only</w:t>
      </w:r>
      <w:r>
        <w:t xml:space="preserve"> — debt collection does not apply here. The consumer’s number is registered on a Do-Not-Call list. </w:t>
      </w:r>
      <w:r>
        <w:rPr>
          <w:b/>
          <w:bCs/>
        </w:rPr>
        <w:t xml:space="preserve">We must verify registration through the API</w:t>
      </w:r>
      <w:r>
        <w:t xml:space="preserve"> — never just take the client’s word.</w:t>
      </w:r>
    </w:p>
    <w:p>
      <w:pPr>
        <w:spacing w:after="70"/>
      </w:pPr>
      <w:r>
        <w:rPr>
          <w:b/>
          <w:bCs/>
          <w:sz w:val="21"/>
          <w:szCs w:val="21"/>
        </w:rPr>
        <w:t xml:space="preserve">Trigger:  </w:t>
      </w:r>
      <w:r>
        <w:rPr>
          <w:rFonts w:ascii="Courier New" w:cs="Courier New" w:eastAsia="Courier New" w:hAnsi="Courier New"/>
          <w:color w:val="1C1C1E"/>
          <w:sz w:val="21"/>
          <w:szCs w:val="21"/>
        </w:rPr>
        <w:t xml:space="preserve">Federal: 2+ telemarketing / 12 months    ·    Florida: 1 telemarketing contact</w:t>
      </w:r>
    </w:p>
    <w:p>
      <w:pPr>
        <w:spacing w:after="70"/>
      </w:pPr>
      <w:r>
        <w:rPr>
          <w:b/>
          <w:bCs/>
          <w:sz w:val="21"/>
          <w:szCs w:val="21"/>
        </w:rPr>
        <w:t xml:space="preserve">Applies to:  </w:t>
      </w:r>
      <w:r>
        <w:rPr>
          <w:b/>
          <w:bCs/>
          <w:color w:val="15605C"/>
          <w:sz w:val="21"/>
          <w:szCs w:val="21"/>
        </w:rPr>
        <w:t xml:space="preserve">Telemarketing only.</w:t>
      </w:r>
    </w:p>
    <w:p>
      <w:pPr>
        <w:spacing w:after="70"/>
      </w:pPr>
      <w:r>
        <w:rPr>
          <w:b/>
          <w:bCs/>
          <w:sz w:val="21"/>
          <w:szCs w:val="21"/>
        </w:rPr>
        <w:t xml:space="preserve">Route:  </w:t>
      </w:r>
      <w:r>
        <w:rPr>
          <w:b/>
          <w:bCs/>
          <w:color w:val="15605C"/>
          <w:sz w:val="21"/>
          <w:szCs w:val="21"/>
        </w:rPr>
        <w:t xml:space="preserve">TCPA</w:t>
      </w:r>
      <w:r>
        <w:rPr>
          <w:sz w:val="21"/>
          <w:szCs w:val="21"/>
        </w:rPr>
        <w:t xml:space="preserve"> (federal list); </w:t>
      </w:r>
      <w:r>
        <w:rPr>
          <w:b/>
          <w:bCs/>
          <w:color w:val="A8552E"/>
          <w:sz w:val="21"/>
          <w:szCs w:val="21"/>
        </w:rPr>
        <w:t xml:space="preserve">FTSA / Florida</w:t>
      </w:r>
      <w:r>
        <w:rPr>
          <w:sz w:val="21"/>
          <w:szCs w:val="21"/>
        </w:rPr>
        <w:t xml:space="preserve"> (Florida list — only one contact needed).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Evidence to collect:  </w:t>
      </w:r>
      <w:r>
        <w:rPr>
          <w:sz w:val="21"/>
          <w:szCs w:val="21"/>
        </w:rPr>
        <w:t xml:space="preserve">The messages (two can be months apart — December + February counts). Then we run the DNC API. Always check the Florida list when the consumer or company is in Florida — one contact is enough.</w:t>
      </w:r>
    </w:p>
    <w:p>
      <w:pPr>
        <w:pStyle w:val="Heading1"/>
        <w:pageBreakBefore/>
      </w:pPr>
      <w:r>
        <w:t xml:space="preserve">5.  The Four Screens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080"/>
        <w:gridCol w:w="1080"/>
        <w:gridCol w:w="900"/>
        <w:gridCol w:w="2300"/>
        <w:gridCol w:w="1640"/>
      </w:tblGrid>
      <w:tr>
        <w:trPr>
          <w:tblHeader/>
        </w:trPr>
        <w:tc>
          <w:tcPr>
            <w:tcW w:type="dxa" w:w="2360"/>
            <w:shd w:fill="1C1C1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080"/>
            <w:shd w:fill="1C1C1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Tele-mktg</w:t>
            </w:r>
          </w:p>
        </w:tc>
        <w:tc>
          <w:tcPr>
            <w:tcW w:type="dxa" w:w="1080"/>
            <w:shd w:fill="1C1C1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Debt coll.</w:t>
            </w:r>
          </w:p>
        </w:tc>
        <w:tc>
          <w:tcPr>
            <w:tcW w:type="dxa" w:w="900"/>
            <w:shd w:fill="1C1C1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</w:t>
            </w:r>
          </w:p>
        </w:tc>
        <w:tc>
          <w:tcPr>
            <w:tcW w:type="dxa" w:w="2300"/>
            <w:shd w:fill="1C1C1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640"/>
            <w:shd w:fill="1C1C1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law</w:t>
            </w:r>
          </w:p>
        </w:tc>
      </w:tr>
      <w:tr>
        <w:tc>
          <w:tcPr>
            <w:tcW w:type="dxa" w:w="236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01 · Prerecorded voice</w:t>
            </w:r>
          </w:p>
        </w:tc>
        <w:tc>
          <w:tcPr>
            <w:tcW w:type="dxa" w:w="108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605C"/>
                <w:sz w:val="22"/>
                <w:szCs w:val="22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6E6A63"/>
                <w:sz w:val="18"/>
                <w:szCs w:val="18"/>
              </w:rPr>
              <w:t xml:space="preserve">any</w:t>
            </w:r>
          </w:p>
        </w:tc>
        <w:tc>
          <w:tcPr>
            <w:tcW w:type="dxa" w:w="90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E6A63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 voicemail</w:t>
            </w:r>
          </w:p>
        </w:tc>
        <w:tc>
          <w:tcPr>
            <w:tcW w:type="dxa" w:w="164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TCPA</w:t>
            </w:r>
          </w:p>
        </w:tc>
      </w:tr>
      <w:tr>
        <w:tc>
          <w:tcPr>
            <w:tcW w:type="dxa" w:w="236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02 · Failure to stop (IDNC)</w:t>
            </w:r>
          </w:p>
        </w:tc>
        <w:tc>
          <w:tcPr>
            <w:tcW w:type="dxa" w:w="108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605C"/>
                <w:sz w:val="22"/>
                <w:szCs w:val="22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A8552E"/>
                <w:sz w:val="22"/>
                <w:szCs w:val="22"/>
              </w:rPr>
              <w:t xml:space="preserve">✓</w:t>
            </w:r>
          </w:p>
        </w:tc>
        <w:tc>
          <w:tcPr>
            <w:tcW w:type="dxa" w:w="90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E6A63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opt-out + 1 more</w:t>
            </w:r>
          </w:p>
        </w:tc>
        <w:tc>
          <w:tcPr>
            <w:tcW w:type="dxa" w:w="164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TCPA · FDCPA+FL</w:t>
            </w:r>
          </w:p>
        </w:tc>
      </w:tr>
      <w:tr>
        <w:tc>
          <w:tcPr>
            <w:tcW w:type="dxa" w:w="236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03 · Quiet hours</w:t>
            </w:r>
          </w:p>
        </w:tc>
        <w:tc>
          <w:tcPr>
            <w:tcW w:type="dxa" w:w="108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605C"/>
                <w:sz w:val="22"/>
                <w:szCs w:val="22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A8552E"/>
                <w:sz w:val="22"/>
                <w:szCs w:val="22"/>
              </w:rPr>
              <w:t xml:space="preserve">✓</w:t>
            </w:r>
          </w:p>
        </w:tc>
        <w:tc>
          <w:tcPr>
            <w:tcW w:type="dxa" w:w="90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E6A63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2+ · 9PM–8AM</w:t>
            </w:r>
          </w:p>
        </w:tc>
        <w:tc>
          <w:tcPr>
            <w:tcW w:type="dxa" w:w="164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TCPA · FL law</w:t>
            </w:r>
          </w:p>
        </w:tc>
      </w:tr>
      <w:tr>
        <w:tc>
          <w:tcPr>
            <w:tcW w:type="dxa" w:w="236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04 · Do-Not-Call registry</w:t>
            </w:r>
          </w:p>
        </w:tc>
        <w:tc>
          <w:tcPr>
            <w:tcW w:type="dxa" w:w="108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605C"/>
                <w:sz w:val="22"/>
                <w:szCs w:val="22"/>
              </w:rPr>
              <w:t xml:space="preserve">✓</w:t>
            </w:r>
          </w:p>
        </w:tc>
        <w:tc>
          <w:tcPr>
            <w:tcW w:type="dxa" w:w="108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E6A63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E6A63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Fed 2+/12mo · FL 1</w:t>
            </w:r>
          </w:p>
        </w:tc>
        <w:tc>
          <w:tcPr>
            <w:tcW w:type="dxa" w:w="1640"/>
            <w:tcBorders>
              <w:top w:val="single" w:color="CFC8B8" w:sz="2"/>
              <w:left w:val="single" w:color="CFC8B8" w:sz="2"/>
              <w:bottom w:val="single" w:color="CFC8B8" w:sz="2"/>
              <w:right w:val="single" w:color="CFC8B8" w:sz="2"/>
            </w:tcBorders>
            <w:shd w:fill="F4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TCPA · FTSA (FL)</w:t>
            </w:r>
          </w:p>
        </w:tc>
      </w:tr>
    </w:tbl>
    <w:p>
      <w:pPr>
        <w:spacing w:after="0" w:before="100"/>
      </w:pPr>
      <w:r>
        <w:rPr>
          <w:b/>
          <w:bCs/>
          <w:sz w:val="18"/>
          <w:szCs w:val="18"/>
        </w:rPr>
        <w:t xml:space="preserve">Legend:  </w:t>
      </w:r>
      <w:r>
        <w:rPr>
          <w:b/>
          <w:bCs/>
          <w:color w:val="15605C"/>
          <w:sz w:val="18"/>
          <w:szCs w:val="18"/>
        </w:rPr>
        <w:t xml:space="preserve">✓ teal</w:t>
      </w:r>
      <w:r>
        <w:rPr>
          <w:sz w:val="18"/>
          <w:szCs w:val="18"/>
        </w:rPr>
        <w:t xml:space="preserve"> = applies on the telemarketing / TCPA track    ·    </w:t>
      </w:r>
      <w:r>
        <w:rPr>
          <w:b/>
          <w:bCs/>
          <w:color w:val="A8552E"/>
          <w:sz w:val="18"/>
          <w:szCs w:val="18"/>
        </w:rPr>
        <w:t xml:space="preserve">✓ clay</w:t>
      </w:r>
      <w:r>
        <w:rPr>
          <w:sz w:val="18"/>
          <w:szCs w:val="18"/>
        </w:rPr>
        <w:t xml:space="preserve"> = applies on the debt-collection track.</w:t>
      </w:r>
    </w:p>
    <w:p>
      <w:pPr>
        <w:pStyle w:val="Heading1"/>
      </w:pPr>
      <w:r>
        <w:t xml:space="preserve">6.  Quality Check — Before You Advance a Lead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qualifying voicemail/text was received within the last four years, and not within a few days of the cutoff. If not, I flagged the lead and notified them of the SOL rejection immediately.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 classified the message: telemarketing, debt collection, or informational.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At least one screen clearly hits, and I noted which one(s).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 did not count an opt-out confirmation text as the violation.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For any “failure to stop,” the follow-up came at least 24 hours after the opt-out.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Debt-collection matters are routed to the FDCPA / Florida pipeline, not TCPA.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For a Do-Not-Call claim, DNC registration is queued for API verification.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 collected (or requested) the evidence listed on the matching screen card.</w:t>
      </w:r>
    </w:p>
    <w:p>
      <w:pPr>
        <w:pStyle w:val="Heading1"/>
      </w:pPr>
      <w:r>
        <w:t xml:space="preserve">7.  Open Items for Attorney Review</w:t>
      </w:r>
    </w:p>
    <w:p>
      <w:pPr>
        <w:spacing w:after="90" w:line="276"/>
      </w:pPr>
      <w:r>
        <w:rPr>
          <w:b/>
          <w:bCs/>
          <w:color w:val="A8552E"/>
        </w:rPr>
        <w:t xml:space="preserve">[FLAG] </w:t>
      </w:r>
      <w:r>
        <w:rPr>
          <w:b/>
          <w:bCs/>
        </w:rPr>
        <w:t xml:space="preserve">Limitations period on the debt-collection track. </w:t>
      </w:r>
      <w:r>
        <w:t xml:space="preserve">The 4-year clock in this SOP is the TCPA period (28 U.S.C. § 1658). FDCPA claims carry a shorter one-year limitations period (15 U.S.C. § 1692k(d)), and Florida claims may differ — so a debt-collection matter can be time-barred well inside the 4-year window. Decide whether intake should apply a separate, tighter date gate for debt-collection leads.</w:t>
      </w:r>
    </w:p>
    <w:p>
      <w:pPr>
        <w:spacing w:after="90" w:line="276"/>
      </w:pPr>
      <w:r>
        <w:rPr>
          <w:b/>
          <w:bCs/>
          <w:color w:val="A8552E"/>
        </w:rPr>
        <w:t xml:space="preserve">[FLAG] </w:t>
      </w:r>
      <w:r>
        <w:rPr>
          <w:b/>
          <w:bCs/>
        </w:rPr>
        <w:t xml:space="preserve">Define the “near cutoff” buffer. </w:t>
      </w:r>
      <w:r>
        <w:t xml:space="preserve">Set a concrete margin (a fixed number of days or weeks before the 4-year mark) so intake applies the auto-reject zone consistently rather than by feel.</w:t>
      </w:r>
    </w:p>
    <w:p>
      <w:pPr>
        <w:spacing w:after="0" w:line="276"/>
      </w:pPr>
      <w:r>
        <w:rPr>
          <w:b/>
          <w:bCs/>
          <w:color w:val="A8552E"/>
        </w:rPr>
        <w:t xml:space="preserve">[FLAG] </w:t>
      </w:r>
      <w:r>
        <w:t xml:space="preserve">This SOP captures the intake screening framework as dictated. Before finalizing v1.1, confirm: (a) whether to add a note on prior-express-consent defenses for prerecorded voice; (b) whether intake should treat prerecorded voicemail as applying to any call type, as drafted; and (c) whether to include statutory pin cites (e.g., 47 U.S.C. § 227(b), § 227(c) / 47 C.F.R. 64.1200(c)–(d); FDCPA § 1692c; Fla. Stat. § 501.059) for the attorney-facing version.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4" w:sz="6" w:space="2"/>
      </w:pBdr>
      <w:tabs>
        <w:tab w:val="right" w:pos="9360"/>
      </w:tabs>
    </w:pPr>
    <w:r>
      <w:rPr>
        <w:color w:val="6E6A63"/>
        <w:sz w:val="16"/>
        <w:szCs w:val="16"/>
      </w:rPr>
      <w:t xml:space="preserve">Internal — screening guide, not legal advice.</w:t>
    </w:r>
    <w:r>
      <w:rPr>
        <w:color w:val="6E6A63"/>
        <w:sz w:val="16"/>
        <w:szCs w:val="16"/>
      </w:rPr>
      <w:t xml:space="preserve">	Page </w:t>
    </w:r>
    <w:r>
      <w:rPr>
        <w:color w:val="6E6A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E6A63"/>
        <w:sz w:val="16"/>
        <w:szCs w:val="16"/>
      </w:rPr>
      <w:t xml:space="preserve"> of </w:t>
    </w:r>
    <w:r>
      <w:rPr>
        <w:color w:val="6E6A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02E" w:sz="8" w:space="2"/>
      </w:pBdr>
      <w:tabs>
        <w:tab w:val="right" w:pos="9360"/>
      </w:tabs>
      <w:spacing w:after="0"/>
    </w:pPr>
    <w:r>
      <w:rPr>
        <w:b/>
        <w:bCs/>
        <w:color w:val="B8902E"/>
        <w:spacing w:val="20"/>
        <w:sz w:val="16"/>
        <w:szCs w:val="16"/>
      </w:rPr>
      <w:t xml:space="preserve">GOLD LAW, P.A.</w:t>
    </w:r>
    <w:r>
      <w:rPr>
        <w:color w:val="6E6A63"/>
        <w:sz w:val="16"/>
        <w:szCs w:val="16"/>
      </w:rPr>
      <w:t xml:space="preserve">	Intake Screening SOP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C1C1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02E" w:sz="10" w:space="3"/>
      </w:pBdr>
      <w:spacing w:after="120" w:before="280"/>
      <w:outlineLvl w:val="0"/>
    </w:pPr>
    <w:rPr>
      <w:rFonts w:ascii="Times New Roman" w:cs="Times New Roman" w:eastAsia="Times New Roman" w:hAnsi="Times New Roman"/>
      <w:b/>
      <w:bCs/>
      <w:color w:val="1C1C1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15605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Intake Screening SOP</dc:title>
  <dc:creator>Gold Law, P.A.</dc:creator>
  <cp:lastModifiedBy>Un-named</cp:lastModifiedBy>
  <cp:revision>1</cp:revision>
  <dcterms:created xsi:type="dcterms:W3CDTF">2026-06-30T18:15:17.154Z</dcterms:created>
  <dcterms:modified xsi:type="dcterms:W3CDTF">2026-06-30T18:15:17.167Z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