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4"/>
          <w:szCs w:val="24"/>
        </w:rPr>
        <w:t xml:space="preserve">GOLD LAW, P.A.</w:t>
      </w:r>
    </w:p>
    <w:p>
      <w:pPr>
        <w:spacing w:after="200"/>
        <w:jc w:val="center"/>
      </w:pPr>
      <w:r>
        <w:rPr>
          <w:rFonts w:ascii="Calibri" w:cs="Calibri" w:eastAsia="Calibri" w:hAnsi="Calibri"/>
          <w:b/>
          <w:bCs/>
          <w:sz w:val="32"/>
          <w:szCs w:val="32"/>
        </w:rPr>
        <w:t xml:space="preserve">WEBSITE TERMS AND CONDITIONS</w:t>
      </w:r>
    </w:p>
    <w:p>
      <w:pPr>
        <w:spacing w:after="300"/>
        <w:jc w:val="center"/>
      </w:pPr>
      <w:r>
        <w:rPr>
          <w:rFonts w:ascii="Calibri" w:cs="Calibri" w:eastAsia="Calibri" w:hAnsi="Calibri"/>
          <w:i/>
          <w:iCs/>
          <w:sz w:val="20"/>
          <w:szCs w:val="20"/>
        </w:rPr>
        <w:t xml:space="preserve">Effective Date: July 19, 2026</w:t>
      </w:r>
    </w:p>
    <w:p>
      <w:pPr>
        <w:spacing w:after="160" w:line="276"/>
      </w:pPr>
      <w:r>
        <w:rPr>
          <w:rFonts w:ascii="Calibri" w:cs="Calibri" w:eastAsia="Calibri" w:hAnsi="Calibri"/>
          <w:b w:val="false"/>
          <w:bCs w:val="false"/>
          <w:i w:val="false"/>
          <w:iCs w:val="false"/>
          <w:sz w:val="21"/>
          <w:szCs w:val="21"/>
        </w:rPr>
        <w:t xml:space="preserve">Welcome to chrisgoldlaw.com (the "Site"), owned and operated by Gold Law, P.A. ("Gold Law," "we," "us," or "our"). These Terms and Conditions ("Terms") govern your access to and use of the Site. By accessing or using the Site, submitting a form, or otherwise interacting with us through the Site, you agree to be bound by these Terms. If you do not agree, please do not use the Site.</w:t>
      </w:r>
    </w:p>
    <w:p>
      <w:pPr>
        <w:spacing w:after="100" w:before="260"/>
      </w:pPr>
      <w:r>
        <w:rPr>
          <w:rFonts w:ascii="Calibri" w:cs="Calibri" w:eastAsia="Calibri" w:hAnsi="Calibri"/>
          <w:b/>
          <w:bCs/>
          <w:sz w:val="24"/>
          <w:szCs w:val="24"/>
        </w:rPr>
        <w:t xml:space="preserve">1. No Attorney-Client Relationship</w:t>
      </w:r>
    </w:p>
    <w:p>
      <w:pPr>
        <w:spacing w:after="160" w:line="276"/>
      </w:pPr>
      <w:r>
        <w:rPr>
          <w:rFonts w:ascii="Calibri" w:cs="Calibri" w:eastAsia="Calibri" w:hAnsi="Calibri"/>
          <w:b w:val="false"/>
          <w:bCs w:val="false"/>
          <w:i w:val="false"/>
          <w:iCs w:val="false"/>
          <w:sz w:val="21"/>
          <w:szCs w:val="21"/>
        </w:rPr>
        <w:t xml:space="preserve">Your use of this Site, and any information you submit through it — including through a contact form, chat, case evaluation request, or text message — does not create an attorney-client relationship between you and Gold Law or any of its attorneys. An attorney-client relationship is formed only when Gold Law agrees to represent you in writing, typically through a signed engagement or retainer agreement. Until that happens, you should not send us any information you consider confidential or privileged.</w:t>
      </w:r>
    </w:p>
    <w:p>
      <w:pPr>
        <w:spacing w:after="100" w:before="260"/>
      </w:pPr>
      <w:r>
        <w:rPr>
          <w:rFonts w:ascii="Calibri" w:cs="Calibri" w:eastAsia="Calibri" w:hAnsi="Calibri"/>
          <w:b/>
          <w:bCs/>
          <w:sz w:val="24"/>
          <w:szCs w:val="24"/>
        </w:rPr>
        <w:t xml:space="preserve">2. No Legal Advice; Informational Purposes Only</w:t>
      </w:r>
    </w:p>
    <w:p>
      <w:pPr>
        <w:spacing w:after="160" w:line="276"/>
      </w:pPr>
      <w:r>
        <w:rPr>
          <w:rFonts w:ascii="Calibri" w:cs="Calibri" w:eastAsia="Calibri" w:hAnsi="Calibri"/>
          <w:b w:val="false"/>
          <w:bCs w:val="false"/>
          <w:i w:val="false"/>
          <w:iCs w:val="false"/>
          <w:sz w:val="21"/>
          <w:szCs w:val="21"/>
        </w:rPr>
        <w:t xml:space="preserve">The content on this Site — including practice area descriptions, blog posts, and FAQs — is provided for general informational purposes only and does not constitute legal advice. Laws change, and the application of law to any specific situation depends on facts that can only be evaluated through a direct consultation with an attorney. You should not act, or refrain from acting, based on anything you read on this Site without seeking individualized legal advice from a licensed attorney.</w:t>
      </w:r>
    </w:p>
    <w:p>
      <w:pPr>
        <w:spacing w:after="100" w:before="260"/>
      </w:pPr>
      <w:r>
        <w:rPr>
          <w:rFonts w:ascii="Calibri" w:cs="Calibri" w:eastAsia="Calibri" w:hAnsi="Calibri"/>
          <w:b/>
          <w:bCs/>
          <w:sz w:val="24"/>
          <w:szCs w:val="24"/>
        </w:rPr>
        <w:t xml:space="preserve">3. Confidentiality of Submitted Information</w:t>
      </w:r>
    </w:p>
    <w:p>
      <w:pPr>
        <w:spacing w:after="160" w:line="276"/>
      </w:pPr>
      <w:r>
        <w:rPr>
          <w:rFonts w:ascii="Calibri" w:cs="Calibri" w:eastAsia="Calibri" w:hAnsi="Calibri"/>
          <w:b w:val="false"/>
          <w:bCs w:val="false"/>
          <w:i w:val="false"/>
          <w:iCs w:val="false"/>
          <w:sz w:val="21"/>
          <w:szCs w:val="21"/>
        </w:rPr>
        <w:t xml:space="preserve">Because no attorney-client relationship exists until we agree in writing to represent you, information you submit through this Site's forms, chat widget, or text messaging program is not protected by the attorney-client privilege and may not be treated as confidential. Please avoid submitting sensitive personal, medical, or financial details until representation has been formally established.</w:t>
      </w:r>
    </w:p>
    <w:p>
      <w:pPr>
        <w:spacing w:after="100" w:before="260"/>
      </w:pPr>
      <w:r>
        <w:rPr>
          <w:rFonts w:ascii="Calibri" w:cs="Calibri" w:eastAsia="Calibri" w:hAnsi="Calibri"/>
          <w:b/>
          <w:bCs/>
          <w:sz w:val="24"/>
          <w:szCs w:val="24"/>
        </w:rPr>
        <w:t xml:space="preserve">4. Attorney Advertising Disclaimer</w:t>
      </w:r>
    </w:p>
    <w:p>
      <w:pPr>
        <w:spacing w:after="160" w:line="276"/>
      </w:pPr>
      <w:r>
        <w:rPr>
          <w:rFonts w:ascii="Calibri" w:cs="Calibri" w:eastAsia="Calibri" w:hAnsi="Calibri"/>
          <w:b w:val="false"/>
          <w:bCs w:val="false"/>
          <w:i w:val="false"/>
          <w:iCs w:val="false"/>
          <w:sz w:val="21"/>
          <w:szCs w:val="21"/>
        </w:rPr>
        <w:t xml:space="preserve">This Site is an advertisement for legal services. It is not intended to be, and should not be construed as, a guarantee, warranty, or prediction regarding the outcome of any legal matter. The hiring of an attorney is an important decision that should not be based solely on advertisements. No aspect of this advertisement has been approved by The Florida Bar. Christopher Gold is the attorney responsible for the content of this Site.</w:t>
      </w:r>
    </w:p>
    <w:p>
      <w:pPr>
        <w:spacing w:after="100" w:before="260"/>
      </w:pPr>
      <w:r>
        <w:rPr>
          <w:rFonts w:ascii="Calibri" w:cs="Calibri" w:eastAsia="Calibri" w:hAnsi="Calibri"/>
          <w:b/>
          <w:bCs/>
          <w:sz w:val="24"/>
          <w:szCs w:val="24"/>
        </w:rPr>
        <w:t xml:space="preserve">5. No Guarantee of Results</w:t>
      </w:r>
    </w:p>
    <w:p>
      <w:pPr>
        <w:spacing w:after="160" w:line="276"/>
      </w:pPr>
      <w:r>
        <w:rPr>
          <w:rFonts w:ascii="Calibri" w:cs="Calibri" w:eastAsia="Calibri" w:hAnsi="Calibri"/>
          <w:b w:val="false"/>
          <w:bCs w:val="false"/>
          <w:i w:val="false"/>
          <w:iCs w:val="false"/>
          <w:sz w:val="21"/>
          <w:szCs w:val="21"/>
        </w:rPr>
        <w:t xml:space="preserve">Gold Law does not guarantee any particular outcome in any legal matter. Testimonials, case results, and settlement figures referenced on the Site reflect the experience of specific clients under specific facts and are not representative of all outcomes. Every case is different, and prospective clients may not obtain the same or similar results.</w:t>
      </w:r>
    </w:p>
    <w:p>
      <w:pPr>
        <w:spacing w:after="100" w:before="260"/>
      </w:pPr>
      <w:r>
        <w:rPr>
          <w:rFonts w:ascii="Calibri" w:cs="Calibri" w:eastAsia="Calibri" w:hAnsi="Calibri"/>
          <w:b/>
          <w:bCs/>
          <w:sz w:val="24"/>
          <w:szCs w:val="24"/>
        </w:rPr>
        <w:t xml:space="preserve">6. Text Messaging (SMS) Program</w:t>
      </w:r>
    </w:p>
    <w:p>
      <w:pPr>
        <w:spacing w:after="160" w:line="276"/>
      </w:pPr>
      <w:r>
        <w:rPr>
          <w:rFonts w:ascii="Calibri" w:cs="Calibri" w:eastAsia="Calibri" w:hAnsi="Calibri"/>
          <w:sz w:val="21"/>
          <w:szCs w:val="21"/>
        </w:rPr>
        <w:t xml:space="preserve">If you provide your mobile phone number to Gold Law and opt in to receive text messages, that texting program is governed by our separate </w:t>
      </w:r>
      <w:r>
        <w:rPr>
          <w:rFonts w:ascii="Calibri" w:cs="Calibri" w:eastAsia="Calibri" w:hAnsi="Calibri"/>
          <w:b/>
          <w:bCs/>
          <w:sz w:val="21"/>
          <w:szCs w:val="21"/>
        </w:rPr>
        <w:t xml:space="preserve">Mobile Terms of Service</w:t>
      </w:r>
      <w:r>
        <w:rPr>
          <w:rFonts w:ascii="Calibri" w:cs="Calibri" w:eastAsia="Calibri" w:hAnsi="Calibri"/>
          <w:sz w:val="21"/>
          <w:szCs w:val="21"/>
        </w:rPr>
        <w:t xml:space="preserve">, available at chrisgoldlaw.com/sms-terms/, which is incorporated into these Terms by reference. Please review those terms, along with our Privacy Policy, before opting in.</w:t>
      </w:r>
    </w:p>
    <w:p>
      <w:pPr>
        <w:spacing w:after="100" w:before="260"/>
      </w:pPr>
      <w:r>
        <w:rPr>
          <w:rFonts w:ascii="Calibri" w:cs="Calibri" w:eastAsia="Calibri" w:hAnsi="Calibri"/>
          <w:b/>
          <w:bCs/>
          <w:sz w:val="24"/>
          <w:szCs w:val="24"/>
        </w:rPr>
        <w:t xml:space="preserve">7. Intellectual Property</w:t>
      </w:r>
    </w:p>
    <w:p>
      <w:pPr>
        <w:spacing w:after="160" w:line="276"/>
      </w:pPr>
      <w:r>
        <w:rPr>
          <w:rFonts w:ascii="Calibri" w:cs="Calibri" w:eastAsia="Calibri" w:hAnsi="Calibri"/>
          <w:b w:val="false"/>
          <w:bCs w:val="false"/>
          <w:i w:val="false"/>
          <w:iCs w:val="false"/>
          <w:sz w:val="21"/>
          <w:szCs w:val="21"/>
        </w:rPr>
        <w:t xml:space="preserve">All content on this Site — including text, graphics, logos, and the Gold Law name and mark — is the property of Gold Law, P.A. or its licensors and is protected by U.S. copyright and trademark law. You may view and print pages of the Site for your personal, non-commercial use, but you may not reproduce, distribute, or create derivative works from Site content without our prior written permission.</w:t>
      </w:r>
    </w:p>
    <w:p>
      <w:pPr>
        <w:spacing w:after="100" w:before="260"/>
      </w:pPr>
      <w:r>
        <w:rPr>
          <w:rFonts w:ascii="Calibri" w:cs="Calibri" w:eastAsia="Calibri" w:hAnsi="Calibri"/>
          <w:b/>
          <w:bCs/>
          <w:sz w:val="24"/>
          <w:szCs w:val="24"/>
        </w:rPr>
        <w:t xml:space="preserve">8. Third-Party Links</w:t>
      </w:r>
    </w:p>
    <w:p>
      <w:pPr>
        <w:spacing w:after="160" w:line="276"/>
      </w:pPr>
      <w:r>
        <w:rPr>
          <w:rFonts w:ascii="Calibri" w:cs="Calibri" w:eastAsia="Calibri" w:hAnsi="Calibri"/>
          <w:b w:val="false"/>
          <w:bCs w:val="false"/>
          <w:i w:val="false"/>
          <w:iCs w:val="false"/>
          <w:sz w:val="21"/>
          <w:szCs w:val="21"/>
        </w:rPr>
        <w:t xml:space="preserve">This Site may contain links to third-party websites that are not owned or controlled by Gold Law. We are not responsible for the content, accuracy, privacy practices, or terms of any third-party site, and inclusion of a link does not imply our endorsement.</w:t>
      </w:r>
    </w:p>
    <w:p>
      <w:pPr>
        <w:spacing w:after="100" w:before="260"/>
      </w:pPr>
      <w:r>
        <w:rPr>
          <w:rFonts w:ascii="Calibri" w:cs="Calibri" w:eastAsia="Calibri" w:hAnsi="Calibri"/>
          <w:b/>
          <w:bCs/>
          <w:sz w:val="24"/>
          <w:szCs w:val="24"/>
        </w:rPr>
        <w:t xml:space="preserve">9. Disclaimer of Warranties</w:t>
      </w:r>
    </w:p>
    <w:p>
      <w:pPr>
        <w:spacing w:after="160" w:line="276"/>
      </w:pPr>
      <w:r>
        <w:rPr>
          <w:rFonts w:ascii="Calibri" w:cs="Calibri" w:eastAsia="Calibri" w:hAnsi="Calibri"/>
          <w:b w:val="false"/>
          <w:bCs w:val="false"/>
          <w:i w:val="false"/>
          <w:iCs w:val="false"/>
          <w:sz w:val="21"/>
          <w:szCs w:val="21"/>
        </w:rPr>
        <w:t xml:space="preserve">The Site and its content are provided "as is" and "as available," without warranties of any kind, express or implied, including warranties of accuracy, completeness, or fitness for a particular purpose. We do not warrant that the Site will be uninterrupted, secure, or error-free.</w:t>
      </w:r>
    </w:p>
    <w:p>
      <w:pPr>
        <w:spacing w:after="100" w:before="260"/>
      </w:pPr>
      <w:r>
        <w:rPr>
          <w:rFonts w:ascii="Calibri" w:cs="Calibri" w:eastAsia="Calibri" w:hAnsi="Calibri"/>
          <w:b/>
          <w:bCs/>
          <w:sz w:val="24"/>
          <w:szCs w:val="24"/>
        </w:rPr>
        <w:t xml:space="preserve">10. Limitation of Liability</w:t>
      </w:r>
    </w:p>
    <w:p>
      <w:pPr>
        <w:spacing w:after="160" w:line="276"/>
      </w:pPr>
      <w:r>
        <w:rPr>
          <w:rFonts w:ascii="Calibri" w:cs="Calibri" w:eastAsia="Calibri" w:hAnsi="Calibri"/>
          <w:b w:val="false"/>
          <w:bCs w:val="false"/>
          <w:i w:val="false"/>
          <w:iCs w:val="false"/>
          <w:sz w:val="21"/>
          <w:szCs w:val="21"/>
        </w:rPr>
        <w:t xml:space="preserve">To the fullest extent permitted by law, Gold Law, P.A. and its attorneys and staff will not be liable for any direct, indirect, incidental, consequential, or punitive damages arising out of your use of, or inability to use, this Site.</w:t>
      </w:r>
    </w:p>
    <w:p>
      <w:pPr>
        <w:spacing w:after="100" w:before="260"/>
      </w:pPr>
      <w:r>
        <w:rPr>
          <w:rFonts w:ascii="Calibri" w:cs="Calibri" w:eastAsia="Calibri" w:hAnsi="Calibri"/>
          <w:b/>
          <w:bCs/>
          <w:sz w:val="24"/>
          <w:szCs w:val="24"/>
        </w:rPr>
        <w:t xml:space="preserve">11. Governing Law; Venue</w:t>
      </w:r>
    </w:p>
    <w:p>
      <w:pPr>
        <w:spacing w:after="160" w:line="276"/>
      </w:pPr>
      <w:r>
        <w:rPr>
          <w:rFonts w:ascii="Calibri" w:cs="Calibri" w:eastAsia="Calibri" w:hAnsi="Calibri"/>
          <w:b w:val="false"/>
          <w:bCs w:val="false"/>
          <w:i w:val="false"/>
          <w:iCs w:val="false"/>
          <w:sz w:val="21"/>
          <w:szCs w:val="21"/>
        </w:rPr>
        <w:t xml:space="preserve">These Terms are governed by the laws of the State of Florida, without regard to its conflict-of-laws principles. Any dispute arising out of or relating to these Terms or your use of the Site will be brought exclusively in the state or federal courts located in Miami-Dade County, Florida.</w:t>
      </w:r>
    </w:p>
    <w:p>
      <w:pPr>
        <w:spacing w:after="100" w:before="260"/>
      </w:pPr>
      <w:r>
        <w:rPr>
          <w:rFonts w:ascii="Calibri" w:cs="Calibri" w:eastAsia="Calibri" w:hAnsi="Calibri"/>
          <w:b/>
          <w:bCs/>
          <w:sz w:val="24"/>
          <w:szCs w:val="24"/>
        </w:rPr>
        <w:t xml:space="preserve">12. Changes to These Terms</w:t>
      </w:r>
    </w:p>
    <w:p>
      <w:pPr>
        <w:spacing w:after="160" w:line="276"/>
      </w:pPr>
      <w:r>
        <w:rPr>
          <w:rFonts w:ascii="Calibri" w:cs="Calibri" w:eastAsia="Calibri" w:hAnsi="Calibri"/>
          <w:b w:val="false"/>
          <w:bCs w:val="false"/>
          <w:i w:val="false"/>
          <w:iCs w:val="false"/>
          <w:sz w:val="21"/>
          <w:szCs w:val="21"/>
        </w:rPr>
        <w:t xml:space="preserve">We may revise these Terms from time to time. The "Effective Date" above reflects the date of the most recent revision. Your continued use of the Site after changes are posted constitutes acceptance of the revised Terms.</w:t>
      </w:r>
    </w:p>
    <w:p>
      <w:pPr>
        <w:spacing w:after="100" w:before="260"/>
      </w:pPr>
      <w:r>
        <w:rPr>
          <w:rFonts w:ascii="Calibri" w:cs="Calibri" w:eastAsia="Calibri" w:hAnsi="Calibri"/>
          <w:b/>
          <w:bCs/>
          <w:sz w:val="24"/>
          <w:szCs w:val="24"/>
        </w:rPr>
        <w:t xml:space="preserve">13. Contact Us</w:t>
      </w:r>
    </w:p>
    <w:p>
      <w:pPr>
        <w:spacing w:after="160" w:line="276"/>
      </w:pPr>
      <w:r>
        <w:rPr>
          <w:rFonts w:ascii="Calibri" w:cs="Calibri" w:eastAsia="Calibri" w:hAnsi="Calibri"/>
          <w:b w:val="false"/>
          <w:bCs w:val="false"/>
          <w:i w:val="false"/>
          <w:iCs w:val="false"/>
          <w:sz w:val="21"/>
          <w:szCs w:val="21"/>
        </w:rPr>
        <w:t xml:space="preserve">Questions about these Terms may be directed to:</w:t>
      </w:r>
    </w:p>
    <w:p>
      <w:pPr>
        <w:spacing w:after="160" w:line="276"/>
      </w:pPr>
      <w:r>
        <w:rPr>
          <w:rFonts w:ascii="Calibri" w:cs="Calibri" w:eastAsia="Calibri" w:hAnsi="Calibri"/>
          <w:b/>
          <w:bCs/>
          <w:i w:val="false"/>
          <w:iCs w:val="false"/>
          <w:sz w:val="21"/>
          <w:szCs w:val="21"/>
        </w:rPr>
        <w:t xml:space="preserve">Gold Law, P.A.</w:t>
      </w:r>
    </w:p>
    <w:p>
      <w:pPr>
        <w:spacing w:after="160" w:line="276"/>
      </w:pPr>
      <w:r>
        <w:rPr>
          <w:rFonts w:ascii="Calibri" w:cs="Calibri" w:eastAsia="Calibri" w:hAnsi="Calibri"/>
          <w:b w:val="false"/>
          <w:bCs w:val="false"/>
          <w:i w:val="false"/>
          <w:iCs w:val="false"/>
          <w:sz w:val="21"/>
          <w:szCs w:val="21"/>
        </w:rPr>
        <w:t xml:space="preserve">350 Lincoln Rd., 2nd Floor, Miami Beach, FL 33139</w:t>
      </w:r>
    </w:p>
    <w:p>
      <w:pPr>
        <w:spacing w:after="160" w:line="276"/>
      </w:pPr>
      <w:r>
        <w:rPr>
          <w:rFonts w:ascii="Calibri" w:cs="Calibri" w:eastAsia="Calibri" w:hAnsi="Calibri"/>
          <w:b w:val="false"/>
          <w:bCs w:val="false"/>
          <w:i w:val="false"/>
          <w:iCs w:val="false"/>
          <w:sz w:val="21"/>
          <w:szCs w:val="21"/>
        </w:rPr>
        <w:t xml:space="preserve">Email: info@chrisgoldlaw.com  •  Phone: (305) 900-GOLD (4653)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t xml:space="preserve">Gold Law, P.A. — 350 Lincoln Rd., 2nd Floor, Miami Beach, FL 33139 — Page </w:t>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2026-07-19T17:28:31.157Z</dcterms:created>
  <dcterms:modified xsi:type="dcterms:W3CDTF">2026-07-19T17:28:31.157Z</dcterms:modified>
</cp:coreProperties>
</file>

<file path=docProps/custom.xml><?xml version="1.0" encoding="utf-8"?>
<Properties xmlns="http://schemas.openxmlformats.org/officeDocument/2006/custom-properties" xmlns:vt="http://schemas.openxmlformats.org/officeDocument/2006/docPropsVTypes"/>
</file>