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81F" w:rsidRDefault="00861DC0" w:rsidP="00861DC0">
      <w:pPr>
        <w:pStyle w:val="Heading1"/>
      </w:pPr>
      <w:r>
        <w:t>Predicting Heart Disease Mortality</w:t>
      </w:r>
      <w:r w:rsidR="00CE1B5A">
        <w:t xml:space="preserve"> Rate</w:t>
      </w:r>
    </w:p>
    <w:p w:rsidR="00233A11" w:rsidRDefault="00233A11" w:rsidP="00233A11">
      <w:pPr>
        <w:spacing w:before="0" w:after="0" w:line="240" w:lineRule="auto"/>
      </w:pPr>
      <w:r>
        <w:t>By David Edelman</w:t>
      </w:r>
    </w:p>
    <w:p w:rsidR="00233A11" w:rsidRPr="00233A11" w:rsidRDefault="00233A11" w:rsidP="00233A11">
      <w:pPr>
        <w:spacing w:before="0" w:after="0" w:line="240" w:lineRule="auto"/>
      </w:pPr>
      <w:r>
        <w:t>DAT102x Capstone Project</w:t>
      </w:r>
    </w:p>
    <w:p w:rsidR="00861DC0" w:rsidRDefault="00861DC0" w:rsidP="00861DC0">
      <w:pPr>
        <w:pStyle w:val="Heading2"/>
      </w:pPr>
      <w:r>
        <w:t>Executive Summary</w:t>
      </w:r>
      <w:bookmarkStart w:id="0" w:name="_GoBack"/>
      <w:bookmarkEnd w:id="0"/>
    </w:p>
    <w:p w:rsidR="00861DC0" w:rsidRDefault="00861DC0" w:rsidP="00861DC0">
      <w:r>
        <w:t xml:space="preserve">Heart disease is one of the leading causes of death in the United States. This document presents an analysis of county-by-county heart disease mortality rates </w:t>
      </w:r>
      <w:r w:rsidR="00E71DB2">
        <w:t xml:space="preserve">(per 100,000 individuals) </w:t>
      </w:r>
      <w:r>
        <w:t>and uses various demographic statistics to build a model that predicts the heart disease mortality rate for that county.</w:t>
      </w:r>
    </w:p>
    <w:p w:rsidR="00861DC0" w:rsidRDefault="00861DC0" w:rsidP="00861DC0">
      <w:r>
        <w:t xml:space="preserve">The </w:t>
      </w:r>
      <w:r w:rsidR="003D69DA">
        <w:t xml:space="preserve">given </w:t>
      </w:r>
      <w:r>
        <w:t xml:space="preserve">data </w:t>
      </w:r>
      <w:r w:rsidR="00E8658F">
        <w:t>set</w:t>
      </w:r>
      <w:r w:rsidR="003D69DA">
        <w:t>, containing</w:t>
      </w:r>
      <w:r>
        <w:t xml:space="preserve"> known heart d</w:t>
      </w:r>
      <w:r w:rsidR="00E8658F">
        <w:t>isease mortality rates</w:t>
      </w:r>
      <w:r w:rsidR="003D69DA">
        <w:t>,</w:t>
      </w:r>
      <w:r w:rsidR="00E8658F">
        <w:t xml:space="preserve"> comprises</w:t>
      </w:r>
      <w:r>
        <w:t xml:space="preserve"> 3198 observations, representing 1599 counties and data collected over two separate years.</w:t>
      </w:r>
      <w:r w:rsidR="003D69DA">
        <w:t xml:space="preserve">  Both categorical and numeric data are present in the feature set, and after some initial data exploration, several other features were calculated. A predictive </w:t>
      </w:r>
      <w:r w:rsidR="008B196E">
        <w:t xml:space="preserve">regression </w:t>
      </w:r>
      <w:r w:rsidR="003D69DA">
        <w:t>model was then created using select features in order to predict the heart disease mortality rate of 3080 county/year pairs, representing 1540 distinct counties.</w:t>
      </w:r>
    </w:p>
    <w:p w:rsidR="003D69DA" w:rsidRDefault="008B196E" w:rsidP="00861DC0">
      <w:r>
        <w:t>While building and tuning the predictive model</w:t>
      </w:r>
      <w:r w:rsidR="003D69DA">
        <w:t xml:space="preserve">, the following features </w:t>
      </w:r>
      <w:r>
        <w:t>were deemed significant to the predictive power of the model</w:t>
      </w:r>
    </w:p>
    <w:p w:rsidR="00EA66C4" w:rsidRDefault="00EA66C4" w:rsidP="00EA66C4">
      <w:pPr>
        <w:pStyle w:val="Heading3"/>
      </w:pPr>
      <w:r w:rsidRPr="00EA66C4">
        <w:t>Area Information</w:t>
      </w:r>
    </w:p>
    <w:p w:rsidR="006E74C3" w:rsidRDefault="00EA66C4" w:rsidP="00EA66C4">
      <w:pPr>
        <w:pStyle w:val="ListParagraph"/>
        <w:numPr>
          <w:ilvl w:val="0"/>
          <w:numId w:val="2"/>
        </w:numPr>
      </w:pPr>
      <w:r>
        <w:t xml:space="preserve">Area RUCC (Rural-Urban Continuum Codes) – classifies each county into one of 9 mutually exclusive categories that identifies </w:t>
      </w:r>
      <w:r w:rsidR="008E4067">
        <w:t xml:space="preserve">(a) </w:t>
      </w:r>
      <w:r>
        <w:t>the</w:t>
      </w:r>
      <w:r w:rsidR="008E4067">
        <w:t xml:space="preserve"> population size, (b)</w:t>
      </w:r>
      <w:r>
        <w:t xml:space="preserve"> </w:t>
      </w:r>
      <w:r w:rsidR="008E4067">
        <w:t xml:space="preserve">the </w:t>
      </w:r>
      <w:r>
        <w:t xml:space="preserve">degree of urbanization and </w:t>
      </w:r>
      <w:r w:rsidR="008E4067">
        <w:t xml:space="preserve">(c) </w:t>
      </w:r>
      <w:r>
        <w:t>proximity to a metropolitan area</w:t>
      </w:r>
      <w:r w:rsidR="00AF3510">
        <w:t>.</w:t>
      </w:r>
      <w:r>
        <w:t xml:space="preserve"> </w:t>
      </w:r>
    </w:p>
    <w:p w:rsidR="006E74C3" w:rsidRDefault="00AF3510" w:rsidP="006E74C3">
      <w:pPr>
        <w:pStyle w:val="ListParagraph"/>
        <w:numPr>
          <w:ilvl w:val="1"/>
          <w:numId w:val="2"/>
        </w:numPr>
      </w:pPr>
      <w:r>
        <w:t>W</w:t>
      </w:r>
      <w:r w:rsidR="008E4067">
        <w:t xml:space="preserve">hile the RUCC itself did now show any strong correlation to heart </w:t>
      </w:r>
      <w:r w:rsidR="008417BE">
        <w:t>disease</w:t>
      </w:r>
      <w:r w:rsidR="008E4067">
        <w:t xml:space="preserve"> mortality</w:t>
      </w:r>
      <w:r w:rsidR="008417BE">
        <w:t xml:space="preserve"> rate</w:t>
      </w:r>
      <w:r w:rsidR="008E4067">
        <w:t xml:space="preserve">, by combining one or more RUCC values into one of 5 groups based solely on population size, the data showed 3 population groups that skewed below the mean heart </w:t>
      </w:r>
      <w:r w:rsidR="008417BE">
        <w:t>disease</w:t>
      </w:r>
      <w:r w:rsidR="008E4067">
        <w:t xml:space="preserve"> mortality</w:t>
      </w:r>
      <w:r w:rsidR="008417BE">
        <w:t xml:space="preserve"> rate</w:t>
      </w:r>
      <w:r w:rsidR="008E4067">
        <w:t xml:space="preserve"> and 1 that skewed above the mean.</w:t>
      </w:r>
      <w:r>
        <w:t xml:space="preserve"> </w:t>
      </w:r>
    </w:p>
    <w:p w:rsidR="00EA66C4" w:rsidRPr="00EA66C4" w:rsidRDefault="00AF3510" w:rsidP="006E74C3">
      <w:pPr>
        <w:pStyle w:val="ListParagraph"/>
        <w:numPr>
          <w:ilvl w:val="1"/>
          <w:numId w:val="2"/>
        </w:numPr>
      </w:pPr>
      <w:r>
        <w:t xml:space="preserve">Additionally, classifying the RUCC values into another calculated feature as “Metro” or “Non-Metro” showed the data being skewed below the mean for Metro and above the men for Non-Metro, adding an enhancement to the predictive model </w:t>
      </w:r>
      <w:r w:rsidRPr="008E4067">
        <w:t>(</w:t>
      </w:r>
      <w:r>
        <w:t xml:space="preserve">data </w:t>
      </w:r>
      <w:r w:rsidRPr="008E4067">
        <w:t>source: USDA Economic Research Service)</w:t>
      </w:r>
    </w:p>
    <w:p w:rsidR="008B196E" w:rsidRPr="008B196E" w:rsidRDefault="008B196E" w:rsidP="008E4067">
      <w:pPr>
        <w:pStyle w:val="Heading3"/>
      </w:pPr>
      <w:r w:rsidRPr="008B196E">
        <w:t>Economic factors</w:t>
      </w:r>
    </w:p>
    <w:p w:rsidR="008B196E" w:rsidRDefault="008B196E" w:rsidP="008E4067">
      <w:pPr>
        <w:pStyle w:val="ListParagraph"/>
        <w:numPr>
          <w:ilvl w:val="0"/>
          <w:numId w:val="1"/>
        </w:numPr>
      </w:pPr>
      <w:r>
        <w:t>Economic Typology</w:t>
      </w:r>
      <w:r w:rsidR="002F36E4">
        <w:t xml:space="preserve"> – classifies each county into one of 6 mutually exclusive categories of economic dependence; </w:t>
      </w:r>
      <w:r w:rsidR="00A931AF">
        <w:t xml:space="preserve">two categories show a distribution skewed below the mean heart </w:t>
      </w:r>
      <w:r w:rsidR="008417BE">
        <w:t>disease</w:t>
      </w:r>
      <w:r w:rsidR="00A931AF">
        <w:t xml:space="preserve"> mortality </w:t>
      </w:r>
      <w:r w:rsidR="008417BE">
        <w:t xml:space="preserve">rate </w:t>
      </w:r>
      <w:r w:rsidR="00A931AF">
        <w:t>and two categories are skewed above</w:t>
      </w:r>
      <w:r w:rsidR="008E4067">
        <w:t xml:space="preserve"> (source: USDA Economic Research Service)</w:t>
      </w:r>
      <w:r w:rsidR="00A931AF">
        <w:t>.</w:t>
      </w:r>
    </w:p>
    <w:p w:rsidR="00A931AF" w:rsidRDefault="00A931AF" w:rsidP="008E4067">
      <w:pPr>
        <w:pStyle w:val="ListParagraph"/>
        <w:numPr>
          <w:ilvl w:val="0"/>
          <w:numId w:val="1"/>
        </w:numPr>
      </w:pPr>
      <w:r>
        <w:t xml:space="preserve">Percent of Civilian Labor – the annualized percent of  the county’s population classified as civilian; analysis shows a moderate </w:t>
      </w:r>
      <w:r w:rsidR="00EA66C4" w:rsidRPr="008417BE">
        <w:rPr>
          <w:i/>
        </w:rPr>
        <w:t>negative</w:t>
      </w:r>
      <w:r w:rsidR="00EA66C4">
        <w:t xml:space="preserve"> </w:t>
      </w:r>
      <w:r>
        <w:t xml:space="preserve">correlation to heart </w:t>
      </w:r>
      <w:r w:rsidR="008417BE">
        <w:t>disease</w:t>
      </w:r>
      <w:r>
        <w:t xml:space="preserve"> mortality</w:t>
      </w:r>
      <w:r w:rsidR="008E4067">
        <w:t xml:space="preserve"> </w:t>
      </w:r>
      <w:r w:rsidR="008417BE">
        <w:t xml:space="preserve">rate </w:t>
      </w:r>
      <w:r w:rsidR="008E4067">
        <w:t>(source: Bureau of Labor Statistics)</w:t>
      </w:r>
    </w:p>
    <w:p w:rsidR="008E4067" w:rsidRDefault="008E4067" w:rsidP="008E4067">
      <w:pPr>
        <w:pStyle w:val="Heading3"/>
      </w:pPr>
      <w:r>
        <w:t>Demographics</w:t>
      </w:r>
    </w:p>
    <w:p w:rsidR="008E4067" w:rsidRDefault="008E4067" w:rsidP="008E4067">
      <w:pPr>
        <w:pStyle w:val="ListParagraph"/>
        <w:numPr>
          <w:ilvl w:val="0"/>
          <w:numId w:val="3"/>
        </w:numPr>
      </w:pPr>
      <w:r>
        <w:t>Percent of non-Hispanic African Americans – analysis shows the strongest positive correlation among the 5 race/ethnicity groups (source: US Census Population Estimates)</w:t>
      </w:r>
    </w:p>
    <w:p w:rsidR="008E4067" w:rsidRDefault="008E4067" w:rsidP="008E4067">
      <w:pPr>
        <w:pStyle w:val="ListParagraph"/>
        <w:numPr>
          <w:ilvl w:val="0"/>
          <w:numId w:val="3"/>
        </w:numPr>
      </w:pPr>
      <w:r>
        <w:lastRenderedPageBreak/>
        <w:t xml:space="preserve">Percent of </w:t>
      </w:r>
      <w:r w:rsidR="006D1DCC">
        <w:t>adults with less than a high-school diploma; percent of adults with a Bachelor’s degree (or higher) – the former shows a strong positive correlation, while the latter shows an equally strong negative correlation (source: US Census Population Estimates)</w:t>
      </w:r>
    </w:p>
    <w:p w:rsidR="006D1DCC" w:rsidRDefault="006D1DCC" w:rsidP="006D1DCC">
      <w:pPr>
        <w:pStyle w:val="Heading3"/>
      </w:pPr>
      <w:r>
        <w:t>Health Factors</w:t>
      </w:r>
    </w:p>
    <w:p w:rsidR="00DF74F6" w:rsidRDefault="00DF74F6" w:rsidP="006D1DCC">
      <w:pPr>
        <w:pStyle w:val="ListParagraph"/>
        <w:numPr>
          <w:ilvl w:val="0"/>
          <w:numId w:val="4"/>
        </w:numPr>
      </w:pPr>
      <w:r>
        <w:t xml:space="preserve">Air Pollution Particulate Matter – measured in </w:t>
      </w:r>
      <w:r>
        <w:rPr>
          <w:rFonts w:cstheme="minorHAnsi"/>
        </w:rPr>
        <w:t>µ</w:t>
      </w:r>
      <w:r>
        <w:t>g/m</w:t>
      </w:r>
      <w:r w:rsidRPr="00DF74F6">
        <w:rPr>
          <w:vertAlign w:val="superscript"/>
        </w:rPr>
        <w:t>3</w:t>
      </w:r>
      <w:r>
        <w:t xml:space="preserve">; the average concentration of fine particulate matter as measured over the year. </w:t>
      </w:r>
      <w:r w:rsidR="0054791A">
        <w:t>Lower concentrations skewed below the population mean while higher concentrations skewed above</w:t>
      </w:r>
      <w:r w:rsidR="0065707B">
        <w:t xml:space="preserve"> (source: CDC WONDER)</w:t>
      </w:r>
      <w:r w:rsidR="0054791A">
        <w:t>.</w:t>
      </w:r>
    </w:p>
    <w:p w:rsidR="006D1DCC" w:rsidRDefault="006E74C3" w:rsidP="006D1DCC">
      <w:pPr>
        <w:pStyle w:val="ListParagraph"/>
        <w:numPr>
          <w:ilvl w:val="0"/>
          <w:numId w:val="4"/>
        </w:numPr>
      </w:pPr>
      <w:r>
        <w:t>Percent of physical inactiv</w:t>
      </w:r>
      <w:r w:rsidR="006D1DCC">
        <w:t xml:space="preserve">ity – percent of adult population that self-identifies as physically inactive (source: </w:t>
      </w:r>
      <w:r w:rsidR="006D1DCC" w:rsidRPr="006D1DCC">
        <w:t>National Center for Chronic Disease Prevention and Health Promotion</w:t>
      </w:r>
      <w:r w:rsidR="006D1DCC">
        <w:t>)</w:t>
      </w:r>
      <w:r w:rsidR="008417BE">
        <w:t>; physical inactivity showed a moderately strong correlation to heart disease mortality rate</w:t>
      </w:r>
    </w:p>
    <w:p w:rsidR="006D1DCC" w:rsidRDefault="006D1DCC" w:rsidP="006D1DCC">
      <w:pPr>
        <w:pStyle w:val="ListParagraph"/>
        <w:numPr>
          <w:ilvl w:val="0"/>
          <w:numId w:val="4"/>
        </w:numPr>
      </w:pPr>
      <w:r>
        <w:t xml:space="preserve">Percent of adult obesity; percent of diabetes; percent of adult smoking – each of the three factors individually showed a strong correlation with heart </w:t>
      </w:r>
      <w:r w:rsidR="008417BE">
        <w:t xml:space="preserve">disease </w:t>
      </w:r>
      <w:r>
        <w:t>mortality</w:t>
      </w:r>
      <w:r w:rsidR="008417BE">
        <w:t xml:space="preserve"> rate</w:t>
      </w:r>
      <w:r>
        <w:t>, but with</w:t>
      </w:r>
      <w:r w:rsidR="006E74C3">
        <w:t xml:space="preserve"> a thought experiment and</w:t>
      </w:r>
      <w:r>
        <w:t xml:space="preserve"> some data transformation</w:t>
      </w:r>
      <w:r w:rsidR="006E74C3">
        <w:t xml:space="preserve"> into combined factors</w:t>
      </w:r>
      <w:r>
        <w:t>, an even stronger correlation was found (sources NCCDPHP; NCCDPHP, Division of Diabetes Translation;</w:t>
      </w:r>
      <w:r w:rsidRPr="006D1DCC">
        <w:t xml:space="preserve"> Behavioral Risk Factor Surveillance System</w:t>
      </w:r>
      <w:r>
        <w:t>)</w:t>
      </w:r>
    </w:p>
    <w:p w:rsidR="00BE439D" w:rsidRDefault="00BE439D" w:rsidP="006D1DCC">
      <w:pPr>
        <w:pStyle w:val="ListParagraph"/>
        <w:numPr>
          <w:ilvl w:val="0"/>
          <w:numId w:val="4"/>
        </w:numPr>
      </w:pPr>
      <w:r>
        <w:t>Homicide, Motor Vehicle Death rates per 100,000 – two separate death rates (per 100,000 individuals); by scaling each rate to a logarithmic scale (base 10), a strong correlation to heart disease mortality rate was found (source: National Center for Health Statistics)</w:t>
      </w:r>
    </w:p>
    <w:p w:rsidR="008417BE" w:rsidRDefault="008417BE" w:rsidP="008417BE">
      <w:pPr>
        <w:pStyle w:val="Heading2"/>
      </w:pPr>
      <w:r>
        <w:t>Data Exploration and Initial Analysis</w:t>
      </w:r>
    </w:p>
    <w:p w:rsidR="008417BE" w:rsidRDefault="008417BE" w:rsidP="008417BE">
      <w:pPr>
        <w:pStyle w:val="Heading3"/>
      </w:pPr>
      <w:r>
        <w:t>Heart Disease Mortality Rate</w:t>
      </w:r>
    </w:p>
    <w:p w:rsidR="008417BE" w:rsidRDefault="0012231A" w:rsidP="0012231A">
      <w:pPr>
        <w:pStyle w:val="Heading4"/>
      </w:pPr>
      <w:r>
        <w:t>Descriptive Statistics</w:t>
      </w:r>
    </w:p>
    <w:p w:rsidR="0012231A" w:rsidRDefault="0012231A" w:rsidP="0012231A">
      <w:r>
        <w:t xml:space="preserve">Heart Disease Mortality Rate (herein shown </w:t>
      </w:r>
      <w:r w:rsidR="00117838">
        <w:t>with a unit of</w:t>
      </w:r>
      <w:r>
        <w:t xml:space="preserve"> </w:t>
      </w:r>
      <w:r w:rsidR="00117838">
        <w:t>“</w:t>
      </w:r>
      <w:r>
        <w:t>deaths per 100,000 population</w:t>
      </w:r>
      <w:r w:rsidR="00117838">
        <w:t>”</w:t>
      </w:r>
      <w:r>
        <w:t>) in the given data set showed a mean of 279.4</w:t>
      </w:r>
      <w:r w:rsidR="00D30D3A">
        <w:t xml:space="preserve">, </w:t>
      </w:r>
      <w:r>
        <w:t>median of 275.0,</w:t>
      </w:r>
      <w:r w:rsidR="00D30D3A">
        <w:t xml:space="preserve"> and standard deviation of 59.0 </w:t>
      </w:r>
      <w:r>
        <w:t>with a range of 109.0 – 512.0. A histogram with 40 equal bin</w:t>
      </w:r>
      <w:r w:rsidR="00B17402">
        <w:t xml:space="preserve">s (calculated based on the minimum and maximum values) and a box plot both show that heart disease mortality rate is approximately normal (skewed </w:t>
      </w:r>
      <w:r w:rsidR="00D30D3A">
        <w:t xml:space="preserve">very </w:t>
      </w:r>
      <w:r w:rsidR="00B17402">
        <w:t>slightly positive), with only approximately 10</w:t>
      </w:r>
      <w:r w:rsidR="00112645">
        <w:t>-15</w:t>
      </w:r>
      <w:r w:rsidR="00B17402">
        <w:t xml:space="preserve"> outliers (values outside of the Inner Quartile Range of 237 – 317).</w:t>
      </w:r>
    </w:p>
    <w:p w:rsidR="00F3451D" w:rsidRDefault="00117838" w:rsidP="00F3451D">
      <w:pPr>
        <w:keepNext/>
      </w:pPr>
      <w:r>
        <w:rPr>
          <w:noProof/>
        </w:rPr>
        <w:lastRenderedPageBreak/>
        <w:drawing>
          <wp:inline distT="0" distB="0" distL="0" distR="0">
            <wp:extent cx="5943600" cy="3987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 - HDM Hi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87103"/>
                    </a:xfrm>
                    <a:prstGeom prst="rect">
                      <a:avLst/>
                    </a:prstGeom>
                  </pic:spPr>
                </pic:pic>
              </a:graphicData>
            </a:graphic>
          </wp:inline>
        </w:drawing>
      </w:r>
    </w:p>
    <w:p w:rsidR="00117838" w:rsidRDefault="00F3451D" w:rsidP="00BC6706">
      <w:pPr>
        <w:pStyle w:val="Caption"/>
        <w:jc w:val="center"/>
      </w:pPr>
      <w:r>
        <w:t xml:space="preserve">Figure </w:t>
      </w:r>
      <w:r w:rsidR="00AC46A2">
        <w:fldChar w:fldCharType="begin"/>
      </w:r>
      <w:r w:rsidR="00AC46A2">
        <w:instrText xml:space="preserve"> SEQ Figure \* ARABIC </w:instrText>
      </w:r>
      <w:r w:rsidR="00AC46A2">
        <w:fldChar w:fldCharType="separate"/>
      </w:r>
      <w:r w:rsidR="00C97A6B">
        <w:rPr>
          <w:noProof/>
        </w:rPr>
        <w:t>1</w:t>
      </w:r>
      <w:r w:rsidR="00AC46A2">
        <w:rPr>
          <w:noProof/>
        </w:rPr>
        <w:fldChar w:fldCharType="end"/>
      </w:r>
      <w:r>
        <w:t xml:space="preserve"> - Heart Mortality Rate Histogram</w:t>
      </w:r>
    </w:p>
    <w:p w:rsidR="00BC6706" w:rsidRDefault="00117838" w:rsidP="00BC6706">
      <w:pPr>
        <w:keepNext/>
      </w:pPr>
      <w:r>
        <w:rPr>
          <w:noProof/>
        </w:rPr>
        <w:lastRenderedPageBreak/>
        <w:drawing>
          <wp:inline distT="0" distB="0" distL="0" distR="0">
            <wp:extent cx="5942746" cy="37814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 - HDM Box.png"/>
                    <pic:cNvPicPr/>
                  </pic:nvPicPr>
                  <pic:blipFill rotWithShape="1">
                    <a:blip r:embed="rId9">
                      <a:extLst>
                        <a:ext uri="{28A0092B-C50C-407E-A947-70E740481C1C}">
                          <a14:useLocalDpi xmlns:a14="http://schemas.microsoft.com/office/drawing/2010/main" val="0"/>
                        </a:ext>
                      </a:extLst>
                    </a:blip>
                    <a:srcRect b="5145"/>
                    <a:stretch/>
                  </pic:blipFill>
                  <pic:spPr bwMode="auto">
                    <a:xfrm>
                      <a:off x="0" y="0"/>
                      <a:ext cx="5943600" cy="3781969"/>
                    </a:xfrm>
                    <a:prstGeom prst="rect">
                      <a:avLst/>
                    </a:prstGeom>
                    <a:ln>
                      <a:noFill/>
                    </a:ln>
                    <a:extLst>
                      <a:ext uri="{53640926-AAD7-44D8-BBD7-CCE9431645EC}">
                        <a14:shadowObscured xmlns:a14="http://schemas.microsoft.com/office/drawing/2010/main"/>
                      </a:ext>
                    </a:extLst>
                  </pic:spPr>
                </pic:pic>
              </a:graphicData>
            </a:graphic>
          </wp:inline>
        </w:drawing>
      </w:r>
    </w:p>
    <w:p w:rsidR="00117838" w:rsidRPr="0012231A" w:rsidRDefault="00BC6706" w:rsidP="00BC6706">
      <w:pPr>
        <w:pStyle w:val="Caption"/>
        <w:jc w:val="center"/>
      </w:pPr>
      <w:r>
        <w:t xml:space="preserve">Figure </w:t>
      </w:r>
      <w:r w:rsidR="00AC46A2">
        <w:fldChar w:fldCharType="begin"/>
      </w:r>
      <w:r w:rsidR="00AC46A2">
        <w:instrText xml:space="preserve"> SEQ Figure \* ARABIC </w:instrText>
      </w:r>
      <w:r w:rsidR="00AC46A2">
        <w:fldChar w:fldCharType="separate"/>
      </w:r>
      <w:r w:rsidR="00C97A6B">
        <w:rPr>
          <w:noProof/>
        </w:rPr>
        <w:t>2</w:t>
      </w:r>
      <w:r w:rsidR="00AC46A2">
        <w:rPr>
          <w:noProof/>
        </w:rPr>
        <w:fldChar w:fldCharType="end"/>
      </w:r>
      <w:r>
        <w:t xml:space="preserve"> - Heart Mortality Rate Boxplot</w:t>
      </w:r>
    </w:p>
    <w:p w:rsidR="008417BE" w:rsidRDefault="00D451F5" w:rsidP="00112645">
      <w:pPr>
        <w:pStyle w:val="Heading4"/>
      </w:pPr>
      <w:r>
        <w:t>Distributions across Categorical Features</w:t>
      </w:r>
    </w:p>
    <w:p w:rsidR="00112645" w:rsidRDefault="00112645" w:rsidP="00112645">
      <w:pPr>
        <w:pStyle w:val="Heading5"/>
        <w:ind w:left="1530" w:hanging="810"/>
      </w:pPr>
      <w:r>
        <w:t>Economic Typology</w:t>
      </w:r>
    </w:p>
    <w:p w:rsidR="00112645" w:rsidRDefault="00112645" w:rsidP="00112645">
      <w:pPr>
        <w:ind w:left="720"/>
      </w:pPr>
      <w:r>
        <w:t>The 6 economic typologies used by the USDA Economic Research Service to assign to each county are</w:t>
      </w:r>
    </w:p>
    <w:p w:rsidR="00112645" w:rsidRDefault="00112645" w:rsidP="00112645">
      <w:pPr>
        <w:pStyle w:val="ListParagraph"/>
        <w:numPr>
          <w:ilvl w:val="0"/>
          <w:numId w:val="6"/>
        </w:numPr>
      </w:pPr>
      <w:r>
        <w:t>Farm-dependent</w:t>
      </w:r>
    </w:p>
    <w:p w:rsidR="00112645" w:rsidRDefault="00112645" w:rsidP="00112645">
      <w:pPr>
        <w:pStyle w:val="ListParagraph"/>
        <w:numPr>
          <w:ilvl w:val="0"/>
          <w:numId w:val="6"/>
        </w:numPr>
      </w:pPr>
      <w:r>
        <w:t>Federal/State government-dependent</w:t>
      </w:r>
    </w:p>
    <w:p w:rsidR="00112645" w:rsidRDefault="00112645" w:rsidP="00112645">
      <w:pPr>
        <w:pStyle w:val="ListParagraph"/>
        <w:numPr>
          <w:ilvl w:val="0"/>
          <w:numId w:val="6"/>
        </w:numPr>
      </w:pPr>
      <w:r>
        <w:t>Manufacturing-dependent</w:t>
      </w:r>
    </w:p>
    <w:p w:rsidR="00112645" w:rsidRDefault="00112645" w:rsidP="00112645">
      <w:pPr>
        <w:pStyle w:val="ListParagraph"/>
        <w:numPr>
          <w:ilvl w:val="0"/>
          <w:numId w:val="6"/>
        </w:numPr>
      </w:pPr>
      <w:r>
        <w:t>Mining-dependent</w:t>
      </w:r>
    </w:p>
    <w:p w:rsidR="00112645" w:rsidRDefault="00112645" w:rsidP="00112645">
      <w:pPr>
        <w:pStyle w:val="ListParagraph"/>
        <w:numPr>
          <w:ilvl w:val="0"/>
          <w:numId w:val="6"/>
        </w:numPr>
      </w:pPr>
      <w:r>
        <w:t>Non-specialized</w:t>
      </w:r>
    </w:p>
    <w:p w:rsidR="00112645" w:rsidRDefault="00112645" w:rsidP="00112645">
      <w:pPr>
        <w:pStyle w:val="ListParagraph"/>
        <w:numPr>
          <w:ilvl w:val="0"/>
          <w:numId w:val="6"/>
        </w:numPr>
      </w:pPr>
      <w:r>
        <w:t>Recreation</w:t>
      </w:r>
    </w:p>
    <w:p w:rsidR="00D451F5" w:rsidRDefault="00112645" w:rsidP="00112645">
      <w:pPr>
        <w:ind w:left="720"/>
      </w:pPr>
      <w:r>
        <w:t xml:space="preserve">The typologies speak to the main type of industries of a particular county. So while we don’t have the specific industries in each county (knowing, intellectually, that certain </w:t>
      </w:r>
      <w:r w:rsidR="00D86BD8">
        <w:t>industries have been linked in the past to specific conditions, including heart disease), we can use the typology as a good representative proxy for specific industries. To identify any potential relationship between typology and heart disease mortality, we use histograms and box plots to examine each typology for an abnormal or skewed distribution.</w:t>
      </w:r>
    </w:p>
    <w:p w:rsidR="00D86BD8" w:rsidRDefault="00D86BD8" w:rsidP="00D86BD8">
      <w:pPr>
        <w:keepNext/>
        <w:ind w:left="720"/>
      </w:pPr>
      <w:r>
        <w:rPr>
          <w:noProof/>
        </w:rPr>
        <w:lastRenderedPageBreak/>
        <w:drawing>
          <wp:inline distT="0" distB="0" distL="0" distR="0">
            <wp:extent cx="5943600" cy="398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 - Econ His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D86BD8" w:rsidRDefault="00D86BD8" w:rsidP="002C132B">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3</w:t>
      </w:r>
      <w:r w:rsidR="00AC46A2">
        <w:rPr>
          <w:noProof/>
        </w:rPr>
        <w:fldChar w:fldCharType="end"/>
      </w:r>
      <w:r>
        <w:t xml:space="preserve"> - Histograms by Economic Typology</w:t>
      </w:r>
    </w:p>
    <w:p w:rsidR="002C132B" w:rsidRDefault="002C132B" w:rsidP="008C2974">
      <w:pPr>
        <w:keepNext/>
        <w:ind w:left="720"/>
        <w:jc w:val="center"/>
      </w:pPr>
      <w:r>
        <w:rPr>
          <w:noProof/>
        </w:rPr>
        <w:lastRenderedPageBreak/>
        <w:drawing>
          <wp:inline distT="0" distB="0" distL="0" distR="0">
            <wp:extent cx="5543310" cy="34575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 - Econ BP.png"/>
                    <pic:cNvPicPr/>
                  </pic:nvPicPr>
                  <pic:blipFill rotWithShape="1">
                    <a:blip r:embed="rId11">
                      <a:extLst>
                        <a:ext uri="{28A0092B-C50C-407E-A947-70E740481C1C}">
                          <a14:useLocalDpi xmlns:a14="http://schemas.microsoft.com/office/drawing/2010/main" val="0"/>
                        </a:ext>
                      </a:extLst>
                    </a:blip>
                    <a:srcRect b="4675"/>
                    <a:stretch/>
                  </pic:blipFill>
                  <pic:spPr bwMode="auto">
                    <a:xfrm>
                      <a:off x="0" y="0"/>
                      <a:ext cx="5580176" cy="3480569"/>
                    </a:xfrm>
                    <a:prstGeom prst="rect">
                      <a:avLst/>
                    </a:prstGeom>
                    <a:ln>
                      <a:noFill/>
                    </a:ln>
                    <a:extLst>
                      <a:ext uri="{53640926-AAD7-44D8-BBD7-CCE9431645EC}">
                        <a14:shadowObscured xmlns:a14="http://schemas.microsoft.com/office/drawing/2010/main"/>
                      </a:ext>
                    </a:extLst>
                  </pic:spPr>
                </pic:pic>
              </a:graphicData>
            </a:graphic>
          </wp:inline>
        </w:drawing>
      </w:r>
    </w:p>
    <w:p w:rsidR="002C132B" w:rsidRDefault="002C132B" w:rsidP="002C132B">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4</w:t>
      </w:r>
      <w:r w:rsidR="00AC46A2">
        <w:rPr>
          <w:noProof/>
        </w:rPr>
        <w:fldChar w:fldCharType="end"/>
      </w:r>
      <w:r>
        <w:t xml:space="preserve"> - Box Plots by Economic Typology</w:t>
      </w:r>
    </w:p>
    <w:p w:rsidR="002C132B" w:rsidRDefault="002C132B" w:rsidP="002C132B"/>
    <w:p w:rsidR="002C132B" w:rsidRPr="002C132B" w:rsidRDefault="002C132B" w:rsidP="002C132B">
      <w:pPr>
        <w:ind w:left="720"/>
      </w:pPr>
      <w:r>
        <w:t xml:space="preserve">The histograms shows that all of the typologies appear to be approximately normal. They also show that the mean from Recreation and from Farm-dependent (to a lesser degree) to be lower than the population mean. None of the typologies appear to have </w:t>
      </w:r>
      <w:r w:rsidR="008C2974">
        <w:t xml:space="preserve">significantly </w:t>
      </w:r>
      <w:r>
        <w:t>higher means than the population average.  However, the box plots give a better picture of the distributions</w:t>
      </w:r>
      <w:r w:rsidR="007243D3">
        <w:t>, showing that indeed Recreation and Farm-Dependent have their median value below the population average, while Manufacturing-dependent and Mining-dependent have</w:t>
      </w:r>
      <w:r w:rsidR="008C2974">
        <w:t xml:space="preserve"> </w:t>
      </w:r>
      <w:r w:rsidR="007243D3">
        <w:t>medians well above the populate average</w:t>
      </w:r>
      <w:r w:rsidR="008C2974">
        <w:t xml:space="preserve"> (Non-specialized shows a very slight variation from the population mean and median)</w:t>
      </w:r>
      <w:r w:rsidR="007243D3">
        <w:t>.</w:t>
      </w:r>
      <w:r w:rsidR="006D1365">
        <w:t xml:space="preserve">  The same results are shown below</w:t>
      </w:r>
      <w:r w:rsidR="00871D0D">
        <w:t>:</w:t>
      </w:r>
    </w:p>
    <w:tbl>
      <w:tblPr>
        <w:tblStyle w:val="GridTable1Light"/>
        <w:tblW w:w="8162" w:type="dxa"/>
        <w:jc w:val="center"/>
        <w:tblLook w:val="04A0" w:firstRow="1" w:lastRow="0" w:firstColumn="1" w:lastColumn="0" w:noHBand="0" w:noVBand="1"/>
      </w:tblPr>
      <w:tblGrid>
        <w:gridCol w:w="4140"/>
        <w:gridCol w:w="1378"/>
        <w:gridCol w:w="1322"/>
        <w:gridCol w:w="1322"/>
      </w:tblGrid>
      <w:tr w:rsidR="00E023C2" w:rsidRPr="006D1365" w:rsidTr="00E023C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40" w:type="dxa"/>
            <w:gridSpan w:val="3"/>
            <w:tcBorders>
              <w:right w:val="single" w:sz="4" w:space="0" w:color="auto"/>
            </w:tcBorders>
            <w:noWrap/>
          </w:tcPr>
          <w:p w:rsidR="00E023C2" w:rsidRPr="006D1365" w:rsidRDefault="00E023C2" w:rsidP="006D1365">
            <w:pPr>
              <w:spacing w:before="0"/>
              <w:jc w:val="center"/>
              <w:rPr>
                <w:rFonts w:ascii="Calibri" w:eastAsia="Times New Roman" w:hAnsi="Calibri" w:cs="Calibri"/>
                <w:color w:val="000000"/>
                <w:sz w:val="22"/>
                <w:szCs w:val="22"/>
              </w:rPr>
            </w:pPr>
            <w:r>
              <w:rPr>
                <w:rFonts w:ascii="Calibri" w:eastAsia="Times New Roman" w:hAnsi="Calibri" w:cs="Calibri"/>
                <w:color w:val="000000"/>
                <w:sz w:val="22"/>
                <w:szCs w:val="22"/>
              </w:rPr>
              <w:t>Pop Mean</w:t>
            </w:r>
            <w:r w:rsidR="00F62C7E">
              <w:rPr>
                <w:rFonts w:ascii="Calibri" w:eastAsia="Times New Roman" w:hAnsi="Calibri" w:cs="Calibri"/>
                <w:color w:val="000000"/>
                <w:sz w:val="22"/>
                <w:szCs w:val="22"/>
              </w:rPr>
              <w:t xml:space="preserve"> = 279.7, Pop Median = 275.0</w:t>
            </w:r>
          </w:p>
        </w:tc>
        <w:tc>
          <w:tcPr>
            <w:tcW w:w="1322" w:type="dxa"/>
            <w:tcBorders>
              <w:top w:val="nil"/>
              <w:left w:val="single" w:sz="4" w:space="0" w:color="auto"/>
              <w:bottom w:val="nil"/>
              <w:right w:val="nil"/>
            </w:tcBorders>
          </w:tcPr>
          <w:p w:rsidR="00E023C2" w:rsidRPr="006D1365" w:rsidRDefault="00E023C2" w:rsidP="006D1365">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6D1365" w:rsidRPr="006D1365" w:rsidTr="00F62C7E">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bottom w:val="single" w:sz="12" w:space="0" w:color="auto"/>
            </w:tcBorders>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Typology</w:t>
            </w:r>
          </w:p>
        </w:tc>
        <w:tc>
          <w:tcPr>
            <w:tcW w:w="1378" w:type="dxa"/>
            <w:tcBorders>
              <w:bottom w:val="single" w:sz="12" w:space="0" w:color="auto"/>
            </w:tcBorders>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rPr>
            </w:pPr>
            <w:r w:rsidRPr="006D1365">
              <w:rPr>
                <w:rFonts w:ascii="Calibri" w:eastAsia="Times New Roman" w:hAnsi="Calibri" w:cs="Calibri"/>
                <w:b/>
                <w:color w:val="000000"/>
                <w:sz w:val="22"/>
                <w:szCs w:val="22"/>
              </w:rPr>
              <w:t>Mean</w:t>
            </w:r>
          </w:p>
        </w:tc>
        <w:tc>
          <w:tcPr>
            <w:tcW w:w="1322" w:type="dxa"/>
            <w:tcBorders>
              <w:bottom w:val="single" w:sz="12" w:space="0" w:color="auto"/>
              <w:right w:val="single" w:sz="4" w:space="0" w:color="auto"/>
            </w:tcBorders>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rPr>
            </w:pPr>
            <w:r w:rsidRPr="006D1365">
              <w:rPr>
                <w:rFonts w:ascii="Calibri" w:eastAsia="Times New Roman" w:hAnsi="Calibri" w:cs="Calibri"/>
                <w:b/>
                <w:color w:val="000000"/>
                <w:sz w:val="22"/>
                <w:szCs w:val="22"/>
              </w:rPr>
              <w:t>Median</w:t>
            </w:r>
          </w:p>
        </w:tc>
        <w:tc>
          <w:tcPr>
            <w:tcW w:w="1322" w:type="dxa"/>
            <w:tcBorders>
              <w:top w:val="nil"/>
              <w:left w:val="single" w:sz="4" w:space="0" w:color="auto"/>
              <w:bottom w:val="single" w:sz="4" w:space="0" w:color="auto"/>
              <w:right w:val="nil"/>
            </w:tcBorders>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6D1365" w:rsidRPr="006D1365" w:rsidTr="00F62C7E">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12" w:space="0" w:color="auto"/>
            </w:tcBorders>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Farm-dependent</w:t>
            </w:r>
          </w:p>
        </w:tc>
        <w:tc>
          <w:tcPr>
            <w:tcW w:w="1378" w:type="dxa"/>
            <w:tcBorders>
              <w:top w:val="single" w:sz="12" w:space="0" w:color="auto"/>
            </w:tcBorders>
            <w:shd w:val="clear" w:color="auto" w:fill="E2EFD9" w:themeFill="accent6" w:themeFillTint="33"/>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6D1365">
              <w:rPr>
                <w:rFonts w:ascii="Calibri" w:eastAsia="Times New Roman" w:hAnsi="Calibri" w:cs="Calibri"/>
                <w:color w:val="006100"/>
                <w:sz w:val="22"/>
                <w:szCs w:val="22"/>
              </w:rPr>
              <w:t>258</w:t>
            </w:r>
          </w:p>
        </w:tc>
        <w:tc>
          <w:tcPr>
            <w:tcW w:w="1322" w:type="dxa"/>
            <w:tcBorders>
              <w:top w:val="single" w:sz="12" w:space="0" w:color="auto"/>
            </w:tcBorders>
            <w:shd w:val="clear" w:color="auto" w:fill="E2EFD9" w:themeFill="accent6" w:themeFillTint="33"/>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6D1365">
              <w:rPr>
                <w:rFonts w:ascii="Calibri" w:eastAsia="Times New Roman" w:hAnsi="Calibri" w:cs="Calibri"/>
                <w:color w:val="006100"/>
                <w:sz w:val="22"/>
                <w:szCs w:val="22"/>
              </w:rPr>
              <w:t>253</w:t>
            </w:r>
          </w:p>
        </w:tc>
        <w:tc>
          <w:tcPr>
            <w:tcW w:w="1322" w:type="dxa"/>
            <w:vMerge w:val="restart"/>
            <w:tcBorders>
              <w:top w:val="single" w:sz="4" w:space="0" w:color="auto"/>
            </w:tcBorders>
            <w:shd w:val="clear" w:color="auto" w:fill="E2EFD9" w:themeFill="accent6" w:themeFillTint="33"/>
            <w:vAlign w:val="center"/>
          </w:tcPr>
          <w:p w:rsidR="006D1365" w:rsidRPr="00F62C7E" w:rsidRDefault="006D1365" w:rsidP="00F62C7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F62C7E">
              <w:rPr>
                <w:rFonts w:ascii="Calibri" w:eastAsia="Times New Roman" w:hAnsi="Calibri" w:cs="Calibri"/>
                <w:color w:val="006100"/>
                <w:sz w:val="22"/>
                <w:szCs w:val="22"/>
              </w:rPr>
              <w:t>Below Pop</w:t>
            </w:r>
            <w:r w:rsidR="00F62C7E">
              <w:rPr>
                <w:rFonts w:ascii="Calibri" w:eastAsia="Times New Roman" w:hAnsi="Calibri" w:cs="Calibri"/>
                <w:color w:val="006100"/>
                <w:sz w:val="22"/>
                <w:szCs w:val="22"/>
              </w:rPr>
              <w:t xml:space="preserve"> &gt; 1%</w:t>
            </w:r>
          </w:p>
        </w:tc>
      </w:tr>
      <w:tr w:rsidR="006D1365" w:rsidRPr="006D1365" w:rsidTr="006D1365">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Federal/State government-dependent</w:t>
            </w:r>
          </w:p>
        </w:tc>
        <w:tc>
          <w:tcPr>
            <w:tcW w:w="1378" w:type="dx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D1365">
              <w:rPr>
                <w:rFonts w:ascii="Calibri" w:eastAsia="Times New Roman" w:hAnsi="Calibri" w:cs="Calibri"/>
                <w:color w:val="000000"/>
                <w:sz w:val="22"/>
                <w:szCs w:val="22"/>
              </w:rPr>
              <w:t>278</w:t>
            </w:r>
          </w:p>
        </w:tc>
        <w:tc>
          <w:tcPr>
            <w:tcW w:w="1322" w:type="dx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D1365">
              <w:rPr>
                <w:rFonts w:ascii="Calibri" w:eastAsia="Times New Roman" w:hAnsi="Calibri" w:cs="Calibri"/>
                <w:color w:val="000000"/>
                <w:sz w:val="22"/>
                <w:szCs w:val="22"/>
              </w:rPr>
              <w:t>277</w:t>
            </w:r>
          </w:p>
        </w:tc>
        <w:tc>
          <w:tcPr>
            <w:tcW w:w="1322" w:type="dxa"/>
            <w:vMerge/>
            <w:vAlign w:val="center"/>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6D1365" w:rsidRPr="006D1365" w:rsidTr="006D1365">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Manufacturing-dependent</w:t>
            </w:r>
          </w:p>
        </w:tc>
        <w:tc>
          <w:tcPr>
            <w:tcW w:w="1378"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295</w:t>
            </w:r>
          </w:p>
        </w:tc>
        <w:tc>
          <w:tcPr>
            <w:tcW w:w="1322"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295</w:t>
            </w:r>
          </w:p>
        </w:tc>
        <w:tc>
          <w:tcPr>
            <w:tcW w:w="1322" w:type="dxa"/>
            <w:vMerge/>
            <w:shd w:val="clear" w:color="auto" w:fill="EEDDDA"/>
            <w:vAlign w:val="center"/>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r w:rsidR="006D1365" w:rsidRPr="006D1365" w:rsidTr="006D1365">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Mining-dependent</w:t>
            </w:r>
          </w:p>
        </w:tc>
        <w:tc>
          <w:tcPr>
            <w:tcW w:w="1378"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301</w:t>
            </w:r>
          </w:p>
        </w:tc>
        <w:tc>
          <w:tcPr>
            <w:tcW w:w="1322"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297.5</w:t>
            </w:r>
          </w:p>
        </w:tc>
        <w:tc>
          <w:tcPr>
            <w:tcW w:w="1322" w:type="dxa"/>
            <w:vMerge w:val="restart"/>
            <w:shd w:val="clear" w:color="auto" w:fill="EEDDDA"/>
            <w:vAlign w:val="center"/>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Pr>
                <w:rFonts w:ascii="Calibri" w:eastAsia="Times New Roman" w:hAnsi="Calibri" w:cs="Calibri"/>
                <w:color w:val="9C0006"/>
                <w:sz w:val="22"/>
                <w:szCs w:val="22"/>
              </w:rPr>
              <w:t>Above Pop</w:t>
            </w:r>
            <w:r w:rsidR="00F62C7E">
              <w:rPr>
                <w:rFonts w:ascii="Calibri" w:eastAsia="Times New Roman" w:hAnsi="Calibri" w:cs="Calibri"/>
                <w:color w:val="9C0006"/>
                <w:sz w:val="22"/>
                <w:szCs w:val="22"/>
              </w:rPr>
              <w:t xml:space="preserve"> &gt; 1%</w:t>
            </w:r>
          </w:p>
        </w:tc>
      </w:tr>
      <w:tr w:rsidR="006D1365" w:rsidRPr="006D1365" w:rsidTr="006D1365">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Nonspecialized</w:t>
            </w:r>
          </w:p>
        </w:tc>
        <w:tc>
          <w:tcPr>
            <w:tcW w:w="1378"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286</w:t>
            </w:r>
          </w:p>
        </w:tc>
        <w:tc>
          <w:tcPr>
            <w:tcW w:w="1322" w:type="dxa"/>
            <w:shd w:val="clear" w:color="auto" w:fill="EEDDDA"/>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sidRPr="006D1365">
              <w:rPr>
                <w:rFonts w:ascii="Calibri" w:eastAsia="Times New Roman" w:hAnsi="Calibri" w:cs="Calibri"/>
                <w:color w:val="9C0006"/>
                <w:sz w:val="22"/>
                <w:szCs w:val="22"/>
              </w:rPr>
              <w:t>280</w:t>
            </w:r>
          </w:p>
        </w:tc>
        <w:tc>
          <w:tcPr>
            <w:tcW w:w="1322" w:type="dxa"/>
            <w:vMerge/>
            <w:shd w:val="clear" w:color="auto" w:fill="EEDDDA"/>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r w:rsidR="006D1365" w:rsidRPr="006D1365" w:rsidTr="006D1365">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hideMark/>
          </w:tcPr>
          <w:p w:rsidR="006D1365" w:rsidRPr="006D1365" w:rsidRDefault="006D1365" w:rsidP="006D1365">
            <w:pPr>
              <w:spacing w:before="0"/>
              <w:rPr>
                <w:rFonts w:ascii="Calibri" w:eastAsia="Times New Roman" w:hAnsi="Calibri" w:cs="Calibri"/>
                <w:color w:val="000000"/>
                <w:sz w:val="22"/>
                <w:szCs w:val="22"/>
              </w:rPr>
            </w:pPr>
            <w:r w:rsidRPr="006D1365">
              <w:rPr>
                <w:rFonts w:ascii="Calibri" w:eastAsia="Times New Roman" w:hAnsi="Calibri" w:cs="Calibri"/>
                <w:color w:val="000000"/>
                <w:sz w:val="22"/>
                <w:szCs w:val="22"/>
              </w:rPr>
              <w:t>Recreation</w:t>
            </w:r>
          </w:p>
        </w:tc>
        <w:tc>
          <w:tcPr>
            <w:tcW w:w="1378" w:type="dxa"/>
            <w:shd w:val="clear" w:color="auto" w:fill="E2EFD9" w:themeFill="accent6" w:themeFillTint="33"/>
            <w:noWrap/>
            <w:hideMark/>
          </w:tcPr>
          <w:p w:rsidR="006D1365" w:rsidRPr="006D1365" w:rsidRDefault="006D1365" w:rsidP="006D1365">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6D1365">
              <w:rPr>
                <w:rFonts w:ascii="Calibri" w:eastAsia="Times New Roman" w:hAnsi="Calibri" w:cs="Calibri"/>
                <w:color w:val="006100"/>
                <w:sz w:val="22"/>
                <w:szCs w:val="22"/>
              </w:rPr>
              <w:t>238</w:t>
            </w:r>
          </w:p>
        </w:tc>
        <w:tc>
          <w:tcPr>
            <w:tcW w:w="1322" w:type="dxa"/>
            <w:shd w:val="clear" w:color="auto" w:fill="E2EFD9" w:themeFill="accent6" w:themeFillTint="33"/>
            <w:noWrap/>
            <w:hideMark/>
          </w:tcPr>
          <w:p w:rsidR="006D1365" w:rsidRPr="006D1365" w:rsidRDefault="006D1365" w:rsidP="006D1365">
            <w:pPr>
              <w:keepNext/>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6D1365">
              <w:rPr>
                <w:rFonts w:ascii="Calibri" w:eastAsia="Times New Roman" w:hAnsi="Calibri" w:cs="Calibri"/>
                <w:color w:val="006100"/>
                <w:sz w:val="22"/>
                <w:szCs w:val="22"/>
              </w:rPr>
              <w:t>239</w:t>
            </w:r>
          </w:p>
        </w:tc>
        <w:tc>
          <w:tcPr>
            <w:tcW w:w="1322" w:type="dxa"/>
            <w:vMerge/>
            <w:shd w:val="clear" w:color="auto" w:fill="E2EFD9" w:themeFill="accent6" w:themeFillTint="33"/>
          </w:tcPr>
          <w:p w:rsidR="006D1365" w:rsidRPr="006D1365" w:rsidRDefault="006D1365" w:rsidP="006D1365">
            <w:pPr>
              <w:keepNext/>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p>
        </w:tc>
      </w:tr>
    </w:tbl>
    <w:p w:rsidR="002C132B" w:rsidRDefault="006D1365" w:rsidP="006D1365">
      <w:pPr>
        <w:pStyle w:val="Caption"/>
        <w:ind w:left="720"/>
        <w:jc w:val="center"/>
      </w:pPr>
      <w:r>
        <w:t xml:space="preserve">Table </w:t>
      </w:r>
      <w:r w:rsidR="00AC46A2">
        <w:fldChar w:fldCharType="begin"/>
      </w:r>
      <w:r w:rsidR="00AC46A2">
        <w:instrText xml:space="preserve"> SEQ Table \* ARABIC </w:instrText>
      </w:r>
      <w:r w:rsidR="00AC46A2">
        <w:fldChar w:fldCharType="separate"/>
      </w:r>
      <w:r w:rsidR="00200F9C">
        <w:rPr>
          <w:noProof/>
        </w:rPr>
        <w:t>1</w:t>
      </w:r>
      <w:r w:rsidR="00AC46A2">
        <w:rPr>
          <w:noProof/>
        </w:rPr>
        <w:fldChar w:fldCharType="end"/>
      </w:r>
      <w:r>
        <w:t xml:space="preserve"> - Summary Statistics per Economic Typology</w:t>
      </w:r>
    </w:p>
    <w:p w:rsidR="006D1365" w:rsidRDefault="00871D0D" w:rsidP="00871D0D">
      <w:pPr>
        <w:ind w:left="720"/>
      </w:pPr>
      <w:r>
        <w:t>Due to heart disease mortality rates being distributed differently across the economic typologies, this feature is a good candidate for use in a predictive model.</w:t>
      </w:r>
    </w:p>
    <w:p w:rsidR="00871D0D" w:rsidRDefault="00871D0D" w:rsidP="00871D0D">
      <w:pPr>
        <w:ind w:left="720"/>
      </w:pPr>
    </w:p>
    <w:p w:rsidR="00871D0D" w:rsidRDefault="00F4308B" w:rsidP="00871D0D">
      <w:pPr>
        <w:pStyle w:val="Heading5"/>
        <w:ind w:left="720"/>
      </w:pPr>
      <w:r>
        <w:t>Population Spread</w:t>
      </w:r>
    </w:p>
    <w:p w:rsidR="00F4308B" w:rsidRDefault="00F4308B" w:rsidP="00F4308B">
      <w:pPr>
        <w:ind w:left="720"/>
      </w:pPr>
      <w:r>
        <w:t>The</w:t>
      </w:r>
      <w:r w:rsidR="00827B72">
        <w:t xml:space="preserve"> individual</w:t>
      </w:r>
      <w:r>
        <w:t xml:space="preserve"> </w:t>
      </w:r>
      <w:r w:rsidR="00827B72">
        <w:t xml:space="preserve">values for </w:t>
      </w:r>
      <w:r>
        <w:t xml:space="preserve">“Area_RUCC” </w:t>
      </w:r>
      <w:r w:rsidR="00827B72">
        <w:t xml:space="preserve">have populations ranging from &lt; 100 to &gt; 600, and </w:t>
      </w:r>
      <w:r w:rsidR="00DC1766">
        <w:t>histograms show that many</w:t>
      </w:r>
      <w:r w:rsidR="00827B72">
        <w:t xml:space="preserve"> distributions </w:t>
      </w:r>
      <w:r w:rsidR="00DC1766">
        <w:t>do not appear to be approximately normal.</w:t>
      </w:r>
    </w:p>
    <w:p w:rsidR="00DC1766" w:rsidRDefault="00DC1766" w:rsidP="00DC1766">
      <w:pPr>
        <w:keepNext/>
        <w:ind w:left="720"/>
      </w:pPr>
      <w:r>
        <w:rPr>
          <w:noProof/>
        </w:rPr>
        <w:drawing>
          <wp:inline distT="0" distB="0" distL="0" distR="0">
            <wp:extent cx="5943600" cy="3987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 - RUCC H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7103"/>
                    </a:xfrm>
                    <a:prstGeom prst="rect">
                      <a:avLst/>
                    </a:prstGeom>
                  </pic:spPr>
                </pic:pic>
              </a:graphicData>
            </a:graphic>
          </wp:inline>
        </w:drawing>
      </w:r>
    </w:p>
    <w:p w:rsidR="00DC1766" w:rsidRDefault="00DC1766" w:rsidP="00DC1766">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5</w:t>
      </w:r>
      <w:r w:rsidR="00AC46A2">
        <w:rPr>
          <w:noProof/>
        </w:rPr>
        <w:fldChar w:fldCharType="end"/>
      </w:r>
      <w:r>
        <w:t xml:space="preserve"> - Histograms for Area_RUCC</w:t>
      </w:r>
      <w:r>
        <w:rPr>
          <w:rStyle w:val="FootnoteReference"/>
        </w:rPr>
        <w:footnoteReference w:id="1"/>
      </w:r>
    </w:p>
    <w:p w:rsidR="00DC1766" w:rsidRDefault="00DC1766" w:rsidP="00DC1766">
      <w:pPr>
        <w:ind w:left="720"/>
      </w:pPr>
      <w:r>
        <w:t xml:space="preserve">However, we can </w:t>
      </w:r>
      <w:r w:rsidR="00E87AE4">
        <w:t>transform</w:t>
      </w:r>
      <w:r>
        <w:t xml:space="preserve"> them into population groups as a proxy for Area_RUCC. The transformation is </w:t>
      </w:r>
    </w:p>
    <w:tbl>
      <w:tblPr>
        <w:tblStyle w:val="GridTable1Light"/>
        <w:tblW w:w="9270" w:type="dxa"/>
        <w:tblInd w:w="715" w:type="dxa"/>
        <w:tblLook w:val="04A0" w:firstRow="1" w:lastRow="0" w:firstColumn="1" w:lastColumn="0" w:noHBand="0" w:noVBand="1"/>
      </w:tblPr>
      <w:tblGrid>
        <w:gridCol w:w="4500"/>
        <w:gridCol w:w="4770"/>
      </w:tblGrid>
      <w:tr w:rsidR="00DC1766" w:rsidTr="00E87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Borders>
              <w:bottom w:val="single" w:sz="12" w:space="0" w:color="auto"/>
            </w:tcBorders>
          </w:tcPr>
          <w:p w:rsidR="00DC1766" w:rsidRDefault="00DC1766" w:rsidP="00DC1766">
            <w:r>
              <w:t>Area RUCC</w:t>
            </w:r>
          </w:p>
        </w:tc>
        <w:tc>
          <w:tcPr>
            <w:tcW w:w="4770" w:type="dxa"/>
            <w:tcBorders>
              <w:bottom w:val="single" w:sz="12" w:space="0" w:color="auto"/>
            </w:tcBorders>
          </w:tcPr>
          <w:p w:rsidR="00DC1766" w:rsidRDefault="00DC1766" w:rsidP="00DC1766">
            <w:pPr>
              <w:cnfStyle w:val="100000000000" w:firstRow="1" w:lastRow="0" w:firstColumn="0" w:lastColumn="0" w:oddVBand="0" w:evenVBand="0" w:oddHBand="0" w:evenHBand="0" w:firstRowFirstColumn="0" w:firstRowLastColumn="0" w:lastRowFirstColumn="0" w:lastRowLastColumn="0"/>
            </w:pPr>
            <w:r>
              <w:t>Population</w:t>
            </w:r>
          </w:p>
        </w:tc>
      </w:tr>
      <w:tr w:rsidR="00DC1766" w:rsidTr="00E87AE4">
        <w:tc>
          <w:tcPr>
            <w:cnfStyle w:val="001000000000" w:firstRow="0" w:lastRow="0" w:firstColumn="1" w:lastColumn="0" w:oddVBand="0" w:evenVBand="0" w:oddHBand="0" w:evenHBand="0" w:firstRowFirstColumn="0" w:firstRowLastColumn="0" w:lastRowFirstColumn="0" w:lastRowLastColumn="0"/>
            <w:tcW w:w="4500" w:type="dxa"/>
            <w:tcBorders>
              <w:top w:val="single" w:sz="12" w:space="0" w:color="auto"/>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Metro - 1 Million +</w:t>
            </w:r>
          </w:p>
        </w:tc>
        <w:tc>
          <w:tcPr>
            <w:tcW w:w="4770" w:type="dxa"/>
            <w:tcBorders>
              <w:top w:val="single" w:sz="12" w:space="0" w:color="auto"/>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1M+</w:t>
            </w:r>
          </w:p>
        </w:tc>
      </w:tr>
      <w:tr w:rsidR="00DC1766"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Metro - 250,000 to 1 Mil</w:t>
            </w:r>
          </w:p>
        </w:tc>
        <w:tc>
          <w:tcPr>
            <w:tcW w:w="4770" w:type="dxa"/>
            <w:tcBorders>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250k – 1M</w:t>
            </w:r>
          </w:p>
        </w:tc>
      </w:tr>
      <w:tr w:rsidR="00DC1766"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Metro - less than 250,000</w:t>
            </w:r>
          </w:p>
        </w:tc>
        <w:tc>
          <w:tcPr>
            <w:tcW w:w="4770" w:type="dxa"/>
            <w:tcBorders>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20 – 250K</w:t>
            </w:r>
          </w:p>
        </w:tc>
      </w:tr>
      <w:tr w:rsidR="00DC1766"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Nonmetro - Rural or &lt; 2.5k, adjacent</w:t>
            </w:r>
          </w:p>
        </w:tc>
        <w:tc>
          <w:tcPr>
            <w:tcW w:w="4770" w:type="dxa"/>
            <w:tcBorders>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under 2,500</w:t>
            </w:r>
          </w:p>
        </w:tc>
      </w:tr>
      <w:tr w:rsidR="00DC1766"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Nonmetro - Rural or &lt; 2.5k, non-adjacent</w:t>
            </w:r>
          </w:p>
        </w:tc>
        <w:tc>
          <w:tcPr>
            <w:tcW w:w="4770" w:type="dxa"/>
            <w:tcBorders>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under 2,500</w:t>
            </w:r>
          </w:p>
        </w:tc>
      </w:tr>
      <w:tr w:rsidR="00DC1766"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DC1766" w:rsidRPr="00E87AE4" w:rsidRDefault="00DC1766" w:rsidP="00DC1766">
            <w:pPr>
              <w:rPr>
                <w:rFonts w:ascii="Calibri" w:hAnsi="Calibri" w:cs="Calibri"/>
                <w:b w:val="0"/>
                <w:color w:val="000000"/>
                <w:szCs w:val="22"/>
              </w:rPr>
            </w:pPr>
            <w:r w:rsidRPr="00E87AE4">
              <w:rPr>
                <w:rFonts w:ascii="Calibri" w:hAnsi="Calibri" w:cs="Calibri"/>
                <w:b w:val="0"/>
                <w:color w:val="000000"/>
                <w:szCs w:val="22"/>
              </w:rPr>
              <w:t>Nonmetro - 2,500 to 19,999, adjacent</w:t>
            </w:r>
          </w:p>
        </w:tc>
        <w:tc>
          <w:tcPr>
            <w:tcW w:w="4770" w:type="dxa"/>
            <w:tcBorders>
              <w:left w:val="single" w:sz="4" w:space="0" w:color="A5A5A5" w:themeColor="accent3"/>
            </w:tcBorders>
          </w:tcPr>
          <w:p w:rsidR="00DC1766" w:rsidRDefault="00E87AE4" w:rsidP="00DC1766">
            <w:pPr>
              <w:cnfStyle w:val="000000000000" w:firstRow="0" w:lastRow="0" w:firstColumn="0" w:lastColumn="0" w:oddVBand="0" w:evenVBand="0" w:oddHBand="0" w:evenHBand="0" w:firstRowFirstColumn="0" w:firstRowLastColumn="0" w:lastRowFirstColumn="0" w:lastRowLastColumn="0"/>
            </w:pPr>
            <w:r>
              <w:t>2.5 – 20K</w:t>
            </w:r>
          </w:p>
        </w:tc>
      </w:tr>
      <w:tr w:rsidR="00E87AE4"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E87AE4" w:rsidRPr="00E87AE4" w:rsidRDefault="00E87AE4" w:rsidP="00E87AE4">
            <w:pPr>
              <w:rPr>
                <w:rFonts w:ascii="Calibri" w:hAnsi="Calibri" w:cs="Calibri"/>
                <w:b w:val="0"/>
                <w:color w:val="000000"/>
                <w:szCs w:val="22"/>
              </w:rPr>
            </w:pPr>
            <w:r w:rsidRPr="00E87AE4">
              <w:rPr>
                <w:rFonts w:ascii="Calibri" w:hAnsi="Calibri" w:cs="Calibri"/>
                <w:b w:val="0"/>
                <w:color w:val="000000"/>
                <w:szCs w:val="22"/>
              </w:rPr>
              <w:t>Nonmetro - 2,500 to 19,999, non-adjacent</w:t>
            </w:r>
          </w:p>
        </w:tc>
        <w:tc>
          <w:tcPr>
            <w:tcW w:w="4770" w:type="dxa"/>
            <w:tcBorders>
              <w:left w:val="single" w:sz="4" w:space="0" w:color="A5A5A5" w:themeColor="accent3"/>
            </w:tcBorders>
          </w:tcPr>
          <w:p w:rsidR="00E87AE4" w:rsidRDefault="00E87AE4" w:rsidP="00E87AE4">
            <w:pPr>
              <w:cnfStyle w:val="000000000000" w:firstRow="0" w:lastRow="0" w:firstColumn="0" w:lastColumn="0" w:oddVBand="0" w:evenVBand="0" w:oddHBand="0" w:evenHBand="0" w:firstRowFirstColumn="0" w:firstRowLastColumn="0" w:lastRowFirstColumn="0" w:lastRowLastColumn="0"/>
            </w:pPr>
            <w:r>
              <w:t>2.5 – 20K</w:t>
            </w:r>
          </w:p>
        </w:tc>
      </w:tr>
      <w:tr w:rsidR="00E87AE4"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E87AE4" w:rsidRPr="00E87AE4" w:rsidRDefault="00E87AE4" w:rsidP="00E87AE4">
            <w:pPr>
              <w:rPr>
                <w:rFonts w:ascii="Calibri" w:hAnsi="Calibri" w:cs="Calibri"/>
                <w:b w:val="0"/>
                <w:color w:val="000000"/>
                <w:szCs w:val="22"/>
              </w:rPr>
            </w:pPr>
            <w:r w:rsidRPr="00E87AE4">
              <w:rPr>
                <w:rFonts w:ascii="Calibri" w:hAnsi="Calibri" w:cs="Calibri"/>
                <w:b w:val="0"/>
                <w:color w:val="000000"/>
                <w:szCs w:val="22"/>
              </w:rPr>
              <w:lastRenderedPageBreak/>
              <w:t>Nonmetro - 20,000 or more, adjacent</w:t>
            </w:r>
          </w:p>
        </w:tc>
        <w:tc>
          <w:tcPr>
            <w:tcW w:w="4770" w:type="dxa"/>
            <w:tcBorders>
              <w:left w:val="single" w:sz="4" w:space="0" w:color="A5A5A5" w:themeColor="accent3"/>
            </w:tcBorders>
          </w:tcPr>
          <w:p w:rsidR="00E87AE4" w:rsidRDefault="00E87AE4" w:rsidP="00E87AE4">
            <w:pPr>
              <w:cnfStyle w:val="000000000000" w:firstRow="0" w:lastRow="0" w:firstColumn="0" w:lastColumn="0" w:oddVBand="0" w:evenVBand="0" w:oddHBand="0" w:evenHBand="0" w:firstRowFirstColumn="0" w:firstRowLastColumn="0" w:lastRowFirstColumn="0" w:lastRowLastColumn="0"/>
            </w:pPr>
            <w:r>
              <w:t>20 – 250K</w:t>
            </w:r>
          </w:p>
        </w:tc>
      </w:tr>
      <w:tr w:rsidR="00E87AE4" w:rsidTr="00DC1766">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rsidR="00E87AE4" w:rsidRPr="00E87AE4" w:rsidRDefault="00E87AE4" w:rsidP="00E87AE4">
            <w:pPr>
              <w:rPr>
                <w:rFonts w:ascii="Calibri" w:hAnsi="Calibri" w:cs="Calibri"/>
                <w:b w:val="0"/>
                <w:color w:val="000000"/>
                <w:szCs w:val="22"/>
              </w:rPr>
            </w:pPr>
            <w:r w:rsidRPr="00E87AE4">
              <w:rPr>
                <w:rFonts w:ascii="Calibri" w:hAnsi="Calibri" w:cs="Calibri"/>
                <w:b w:val="0"/>
                <w:color w:val="000000"/>
                <w:szCs w:val="22"/>
              </w:rPr>
              <w:t xml:space="preserve">Nonmetro - 20,000 or more, </w:t>
            </w:r>
            <w:r>
              <w:rPr>
                <w:rFonts w:ascii="Calibri" w:hAnsi="Calibri" w:cs="Calibri"/>
                <w:b w:val="0"/>
                <w:color w:val="000000"/>
                <w:szCs w:val="22"/>
              </w:rPr>
              <w:t>non-</w:t>
            </w:r>
            <w:r w:rsidRPr="00E87AE4">
              <w:rPr>
                <w:rFonts w:ascii="Calibri" w:hAnsi="Calibri" w:cs="Calibri"/>
                <w:b w:val="0"/>
                <w:color w:val="000000"/>
                <w:szCs w:val="22"/>
              </w:rPr>
              <w:t>adjacent</w:t>
            </w:r>
          </w:p>
        </w:tc>
        <w:tc>
          <w:tcPr>
            <w:tcW w:w="4770" w:type="dxa"/>
            <w:tcBorders>
              <w:left w:val="single" w:sz="4" w:space="0" w:color="A5A5A5" w:themeColor="accent3"/>
            </w:tcBorders>
          </w:tcPr>
          <w:p w:rsidR="00E87AE4" w:rsidRDefault="00E87AE4" w:rsidP="00E87AE4">
            <w:pPr>
              <w:keepNext/>
              <w:cnfStyle w:val="000000000000" w:firstRow="0" w:lastRow="0" w:firstColumn="0" w:lastColumn="0" w:oddVBand="0" w:evenVBand="0" w:oddHBand="0" w:evenHBand="0" w:firstRowFirstColumn="0" w:firstRowLastColumn="0" w:lastRowFirstColumn="0" w:lastRowLastColumn="0"/>
            </w:pPr>
            <w:r>
              <w:t>20 – 250K</w:t>
            </w:r>
          </w:p>
        </w:tc>
      </w:tr>
    </w:tbl>
    <w:p w:rsidR="00E87AE4" w:rsidRDefault="00E87AE4" w:rsidP="00E87AE4">
      <w:pPr>
        <w:pStyle w:val="Caption"/>
        <w:ind w:left="720"/>
        <w:jc w:val="center"/>
      </w:pPr>
      <w:r>
        <w:t xml:space="preserve">Table </w:t>
      </w:r>
      <w:r w:rsidR="00AC46A2">
        <w:fldChar w:fldCharType="begin"/>
      </w:r>
      <w:r w:rsidR="00AC46A2">
        <w:instrText xml:space="preserve"> SEQ Table \* ARABIC </w:instrText>
      </w:r>
      <w:r w:rsidR="00AC46A2">
        <w:fldChar w:fldCharType="separate"/>
      </w:r>
      <w:r w:rsidR="00200F9C">
        <w:rPr>
          <w:noProof/>
        </w:rPr>
        <w:t>2</w:t>
      </w:r>
      <w:r w:rsidR="00AC46A2">
        <w:rPr>
          <w:noProof/>
        </w:rPr>
        <w:fldChar w:fldCharType="end"/>
      </w:r>
      <w:r>
        <w:t xml:space="preserve"> - Transformations Area_RUCC --&gt; Population</w:t>
      </w:r>
    </w:p>
    <w:p w:rsidR="00E87AE4" w:rsidRDefault="00E87AE4" w:rsidP="00E87AE4">
      <w:pPr>
        <w:ind w:left="720"/>
      </w:pPr>
      <w:r>
        <w:t>Looking at the histograms we now see a more even spread of data and more normal distributions</w:t>
      </w:r>
    </w:p>
    <w:p w:rsidR="00E87AE4" w:rsidRDefault="00E87AE4" w:rsidP="00E87AE4">
      <w:pPr>
        <w:keepNext/>
        <w:ind w:left="720"/>
      </w:pPr>
      <w:r>
        <w:rPr>
          <w:noProof/>
        </w:rPr>
        <w:drawing>
          <wp:inline distT="0" distB="0" distL="0" distR="0">
            <wp:extent cx="5943600" cy="3987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 - Pop His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E87AE4" w:rsidRDefault="00E87AE4" w:rsidP="00E87AE4">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6</w:t>
      </w:r>
      <w:r w:rsidR="00AC46A2">
        <w:rPr>
          <w:noProof/>
        </w:rPr>
        <w:fldChar w:fldCharType="end"/>
      </w:r>
      <w:r>
        <w:t xml:space="preserve"> - Histograms by Population Groups</w:t>
      </w:r>
    </w:p>
    <w:p w:rsidR="00E87AE4" w:rsidRDefault="00E87AE4" w:rsidP="00E87AE4">
      <w:pPr>
        <w:ind w:left="720"/>
      </w:pPr>
      <w:r>
        <w:t>The “2.5-20K”</w:t>
      </w:r>
      <w:r w:rsidR="00132796">
        <w:t xml:space="preserve"> </w:t>
      </w:r>
      <w:r>
        <w:t xml:space="preserve">group </w:t>
      </w:r>
      <w:r w:rsidR="00132796">
        <w:t>appears to be skewed somewhat positive, while the “1M+” group is skewed negative, even though the peak is below the population mean and median. Box plots show the distributions more cleanly.</w:t>
      </w:r>
    </w:p>
    <w:p w:rsidR="00405DAE" w:rsidRDefault="00405DAE" w:rsidP="00405DAE">
      <w:pPr>
        <w:keepNext/>
        <w:ind w:left="720"/>
      </w:pPr>
      <w:r>
        <w:rPr>
          <w:noProof/>
        </w:rPr>
        <w:lastRenderedPageBreak/>
        <w:drawing>
          <wp:inline distT="0" distB="0" distL="0" distR="0">
            <wp:extent cx="5943600" cy="3987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 - Pop B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7103"/>
                    </a:xfrm>
                    <a:prstGeom prst="rect">
                      <a:avLst/>
                    </a:prstGeom>
                  </pic:spPr>
                </pic:pic>
              </a:graphicData>
            </a:graphic>
          </wp:inline>
        </w:drawing>
      </w:r>
    </w:p>
    <w:p w:rsidR="00132796" w:rsidRDefault="00405DAE" w:rsidP="00405DAE">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7</w:t>
      </w:r>
      <w:r w:rsidR="00AC46A2">
        <w:rPr>
          <w:noProof/>
        </w:rPr>
        <w:fldChar w:fldCharType="end"/>
      </w:r>
      <w:r>
        <w:t xml:space="preserve"> - Box plots for Population Groups</w:t>
      </w:r>
    </w:p>
    <w:p w:rsidR="00405DAE" w:rsidRPr="00405DAE" w:rsidRDefault="00405DAE" w:rsidP="00405DAE">
      <w:pPr>
        <w:ind w:left="720"/>
      </w:pPr>
      <w:r>
        <w:t>Here we can more clearly see that the median for “under 2.5K”, “250K-1M” and “1M+” are all below the population mean and median. The group “2.5-20K” has a median well above the population mean and median, while the “20-250K” group median is only slightly higher than the population.</w:t>
      </w:r>
    </w:p>
    <w:p w:rsidR="00132796" w:rsidRDefault="00132796" w:rsidP="00E87AE4">
      <w:pPr>
        <w:ind w:left="720"/>
      </w:pPr>
    </w:p>
    <w:tbl>
      <w:tblPr>
        <w:tblStyle w:val="GridTable1Light"/>
        <w:tblW w:w="8162" w:type="dxa"/>
        <w:jc w:val="center"/>
        <w:tblLook w:val="04A0" w:firstRow="1" w:lastRow="0" w:firstColumn="1" w:lastColumn="0" w:noHBand="0" w:noVBand="1"/>
      </w:tblPr>
      <w:tblGrid>
        <w:gridCol w:w="4140"/>
        <w:gridCol w:w="1378"/>
        <w:gridCol w:w="1322"/>
        <w:gridCol w:w="1322"/>
      </w:tblGrid>
      <w:tr w:rsidR="00132796" w:rsidRPr="006D1365" w:rsidTr="00BE439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40" w:type="dxa"/>
            <w:gridSpan w:val="3"/>
            <w:tcBorders>
              <w:right w:val="single" w:sz="4" w:space="0" w:color="auto"/>
            </w:tcBorders>
            <w:noWrap/>
          </w:tcPr>
          <w:p w:rsidR="00132796" w:rsidRPr="006D1365" w:rsidRDefault="00132796" w:rsidP="00BE439D">
            <w:pPr>
              <w:spacing w:before="0"/>
              <w:jc w:val="center"/>
              <w:rPr>
                <w:rFonts w:ascii="Calibri" w:eastAsia="Times New Roman" w:hAnsi="Calibri" w:cs="Calibri"/>
                <w:color w:val="000000"/>
                <w:sz w:val="22"/>
                <w:szCs w:val="22"/>
              </w:rPr>
            </w:pPr>
            <w:r>
              <w:rPr>
                <w:rFonts w:ascii="Calibri" w:eastAsia="Times New Roman" w:hAnsi="Calibri" w:cs="Calibri"/>
                <w:color w:val="000000"/>
                <w:sz w:val="22"/>
                <w:szCs w:val="22"/>
              </w:rPr>
              <w:t>Pop Mean = 279.7, Pop Median = 275.0</w:t>
            </w:r>
          </w:p>
        </w:tc>
        <w:tc>
          <w:tcPr>
            <w:tcW w:w="1322" w:type="dxa"/>
            <w:tcBorders>
              <w:top w:val="nil"/>
              <w:left w:val="single" w:sz="4" w:space="0" w:color="auto"/>
              <w:bottom w:val="nil"/>
              <w:right w:val="nil"/>
            </w:tcBorders>
          </w:tcPr>
          <w:p w:rsidR="00132796" w:rsidRPr="006D1365" w:rsidRDefault="00132796" w:rsidP="00BE439D">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405DAE" w:rsidRPr="006D1365" w:rsidTr="00BE439D">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bottom w:val="single" w:sz="12" w:space="0" w:color="auto"/>
            </w:tcBorders>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Population Group</w:t>
            </w:r>
          </w:p>
        </w:tc>
        <w:tc>
          <w:tcPr>
            <w:tcW w:w="1378" w:type="dxa"/>
            <w:tcBorders>
              <w:bottom w:val="single" w:sz="12" w:space="0" w:color="auto"/>
            </w:tcBorders>
            <w:noWrap/>
            <w:vAlign w:val="bottom"/>
            <w:hideMark/>
          </w:tcPr>
          <w:p w:rsidR="00405DAE" w:rsidRDefault="00405DAE" w:rsidP="00405D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Mean</w:t>
            </w:r>
          </w:p>
        </w:tc>
        <w:tc>
          <w:tcPr>
            <w:tcW w:w="1322" w:type="dxa"/>
            <w:tcBorders>
              <w:bottom w:val="single" w:sz="12" w:space="0" w:color="auto"/>
              <w:right w:val="single" w:sz="4" w:space="0" w:color="auto"/>
            </w:tcBorders>
            <w:noWrap/>
            <w:vAlign w:val="bottom"/>
            <w:hideMark/>
          </w:tcPr>
          <w:p w:rsidR="00405DAE" w:rsidRDefault="00405DAE" w:rsidP="00405D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Median</w:t>
            </w:r>
          </w:p>
        </w:tc>
        <w:tc>
          <w:tcPr>
            <w:tcW w:w="1322" w:type="dxa"/>
            <w:tcBorders>
              <w:top w:val="nil"/>
              <w:left w:val="single" w:sz="4" w:space="0" w:color="auto"/>
              <w:bottom w:val="single" w:sz="4" w:space="0" w:color="auto"/>
              <w:right w:val="nil"/>
            </w:tcBorders>
          </w:tcPr>
          <w:p w:rsidR="00405DAE" w:rsidRPr="006D1365" w:rsidRDefault="00405DAE" w:rsidP="00405DA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405DAE" w:rsidRPr="006D1365" w:rsidTr="00BE439D">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12" w:space="0" w:color="auto"/>
            </w:tcBorders>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under 2.5K</w:t>
            </w:r>
          </w:p>
        </w:tc>
        <w:tc>
          <w:tcPr>
            <w:tcW w:w="1378" w:type="dxa"/>
            <w:tcBorders>
              <w:top w:val="single" w:sz="12" w:space="0" w:color="auto"/>
            </w:tcBorders>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272</w:t>
            </w:r>
          </w:p>
        </w:tc>
        <w:tc>
          <w:tcPr>
            <w:tcW w:w="1322" w:type="dxa"/>
            <w:tcBorders>
              <w:top w:val="single" w:sz="12" w:space="0" w:color="auto"/>
            </w:tcBorders>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265</w:t>
            </w:r>
          </w:p>
        </w:tc>
        <w:tc>
          <w:tcPr>
            <w:tcW w:w="1322" w:type="dxa"/>
            <w:vMerge w:val="restart"/>
            <w:tcBorders>
              <w:top w:val="single" w:sz="4" w:space="0" w:color="auto"/>
            </w:tcBorders>
            <w:shd w:val="clear" w:color="auto" w:fill="E2EFD9" w:themeFill="accent6" w:themeFillTint="33"/>
            <w:vAlign w:val="center"/>
          </w:tcPr>
          <w:p w:rsidR="00405DAE" w:rsidRPr="00F62C7E" w:rsidRDefault="00405DAE" w:rsidP="00405DA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F62C7E">
              <w:rPr>
                <w:rFonts w:ascii="Calibri" w:eastAsia="Times New Roman" w:hAnsi="Calibri" w:cs="Calibri"/>
                <w:color w:val="006100"/>
                <w:sz w:val="22"/>
                <w:szCs w:val="22"/>
              </w:rPr>
              <w:t>Below Pop</w:t>
            </w:r>
            <w:r>
              <w:rPr>
                <w:rFonts w:ascii="Calibri" w:eastAsia="Times New Roman" w:hAnsi="Calibri" w:cs="Calibri"/>
                <w:color w:val="006100"/>
                <w:sz w:val="22"/>
                <w:szCs w:val="22"/>
              </w:rPr>
              <w:t xml:space="preserve"> &gt; 1%</w:t>
            </w:r>
          </w:p>
        </w:tc>
      </w:tr>
      <w:tr w:rsidR="00405DAE" w:rsidRPr="006D1365" w:rsidTr="00405DAE">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2.5-20K</w:t>
            </w:r>
          </w:p>
        </w:tc>
        <w:tc>
          <w:tcPr>
            <w:tcW w:w="1378" w:type="dxa"/>
            <w:shd w:val="clear" w:color="auto" w:fill="EEDDDA"/>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9C0006"/>
                <w:sz w:val="22"/>
                <w:szCs w:val="22"/>
              </w:rPr>
            </w:pPr>
            <w:r>
              <w:rPr>
                <w:rFonts w:ascii="Calibri" w:hAnsi="Calibri" w:cs="Calibri"/>
                <w:color w:val="9C0006"/>
                <w:sz w:val="22"/>
                <w:szCs w:val="22"/>
              </w:rPr>
              <w:t>296</w:t>
            </w:r>
          </w:p>
        </w:tc>
        <w:tc>
          <w:tcPr>
            <w:tcW w:w="1322" w:type="dxa"/>
            <w:shd w:val="clear" w:color="auto" w:fill="EEDDDA"/>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9C0006"/>
                <w:sz w:val="22"/>
                <w:szCs w:val="22"/>
              </w:rPr>
            </w:pPr>
            <w:r>
              <w:rPr>
                <w:rFonts w:ascii="Calibri" w:hAnsi="Calibri" w:cs="Calibri"/>
                <w:color w:val="9C0006"/>
                <w:sz w:val="22"/>
                <w:szCs w:val="22"/>
              </w:rPr>
              <w:t>291</w:t>
            </w:r>
          </w:p>
        </w:tc>
        <w:tc>
          <w:tcPr>
            <w:tcW w:w="1322" w:type="dxa"/>
            <w:vMerge/>
            <w:vAlign w:val="center"/>
          </w:tcPr>
          <w:p w:rsidR="00405DAE" w:rsidRPr="006D1365" w:rsidRDefault="00405DAE" w:rsidP="00405DA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405DAE" w:rsidRPr="006D1365" w:rsidTr="00405DAE">
        <w:trPr>
          <w:trHeight w:val="70"/>
          <w:jc w:val="center"/>
        </w:trPr>
        <w:tc>
          <w:tcPr>
            <w:cnfStyle w:val="001000000000" w:firstRow="0" w:lastRow="0" w:firstColumn="1" w:lastColumn="0" w:oddVBand="0" w:evenVBand="0" w:oddHBand="0" w:evenHBand="0" w:firstRowFirstColumn="0" w:firstRowLastColumn="0" w:lastRowFirstColumn="0" w:lastRowLastColumn="0"/>
            <w:tcW w:w="4140" w:type="dxa"/>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20-250k</w:t>
            </w:r>
          </w:p>
        </w:tc>
        <w:tc>
          <w:tcPr>
            <w:tcW w:w="1378" w:type="dxa"/>
            <w:shd w:val="clear" w:color="auto" w:fill="auto"/>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279</w:t>
            </w:r>
          </w:p>
        </w:tc>
        <w:tc>
          <w:tcPr>
            <w:tcW w:w="1322" w:type="dxa"/>
            <w:shd w:val="clear" w:color="auto" w:fill="EEDDDA"/>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9C0006"/>
                <w:sz w:val="22"/>
                <w:szCs w:val="22"/>
              </w:rPr>
            </w:pPr>
            <w:r>
              <w:rPr>
                <w:rFonts w:ascii="Calibri" w:hAnsi="Calibri" w:cs="Calibri"/>
                <w:color w:val="9C0006"/>
                <w:sz w:val="22"/>
                <w:szCs w:val="22"/>
              </w:rPr>
              <w:t>280</w:t>
            </w:r>
          </w:p>
        </w:tc>
        <w:tc>
          <w:tcPr>
            <w:tcW w:w="1322" w:type="dxa"/>
            <w:vMerge/>
            <w:shd w:val="clear" w:color="auto" w:fill="EEDDDA"/>
            <w:vAlign w:val="center"/>
          </w:tcPr>
          <w:p w:rsidR="00405DAE" w:rsidRPr="006D1365" w:rsidRDefault="00405DAE" w:rsidP="00405DA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r w:rsidR="00405DAE" w:rsidRPr="006D1365" w:rsidTr="00405DAE">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250K-1M</w:t>
            </w:r>
          </w:p>
        </w:tc>
        <w:tc>
          <w:tcPr>
            <w:tcW w:w="1378" w:type="dxa"/>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269</w:t>
            </w:r>
          </w:p>
        </w:tc>
        <w:tc>
          <w:tcPr>
            <w:tcW w:w="1322" w:type="dxa"/>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266</w:t>
            </w:r>
          </w:p>
        </w:tc>
        <w:tc>
          <w:tcPr>
            <w:tcW w:w="1322" w:type="dxa"/>
            <w:vMerge w:val="restart"/>
            <w:shd w:val="clear" w:color="auto" w:fill="EEDDDA"/>
            <w:vAlign w:val="center"/>
          </w:tcPr>
          <w:p w:rsidR="00405DAE" w:rsidRPr="006D1365" w:rsidRDefault="00405DAE" w:rsidP="00405DA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Pr>
                <w:rFonts w:ascii="Calibri" w:eastAsia="Times New Roman" w:hAnsi="Calibri" w:cs="Calibri"/>
                <w:color w:val="9C0006"/>
                <w:sz w:val="22"/>
                <w:szCs w:val="22"/>
              </w:rPr>
              <w:t>Above Pop &gt; 1%</w:t>
            </w:r>
          </w:p>
        </w:tc>
      </w:tr>
      <w:tr w:rsidR="00405DAE" w:rsidRPr="006D1365" w:rsidTr="00405DAE">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vAlign w:val="bottom"/>
            <w:hideMark/>
          </w:tcPr>
          <w:p w:rsidR="00405DAE" w:rsidRDefault="00405DAE" w:rsidP="00405DAE">
            <w:pPr>
              <w:rPr>
                <w:rFonts w:ascii="Calibri" w:hAnsi="Calibri" w:cs="Calibri"/>
                <w:color w:val="000000"/>
                <w:sz w:val="22"/>
                <w:szCs w:val="22"/>
              </w:rPr>
            </w:pPr>
            <w:r>
              <w:rPr>
                <w:rFonts w:ascii="Calibri" w:hAnsi="Calibri" w:cs="Calibri"/>
                <w:color w:val="000000"/>
                <w:sz w:val="22"/>
                <w:szCs w:val="22"/>
              </w:rPr>
              <w:t>1M+</w:t>
            </w:r>
          </w:p>
        </w:tc>
        <w:tc>
          <w:tcPr>
            <w:tcW w:w="1378" w:type="dxa"/>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257</w:t>
            </w:r>
          </w:p>
        </w:tc>
        <w:tc>
          <w:tcPr>
            <w:tcW w:w="1322" w:type="dxa"/>
            <w:shd w:val="clear" w:color="auto" w:fill="E2EFD9" w:themeFill="accent6" w:themeFillTint="33"/>
            <w:noWrap/>
            <w:vAlign w:val="bottom"/>
            <w:hideMark/>
          </w:tcPr>
          <w:p w:rsidR="00405DAE" w:rsidRDefault="00405DAE" w:rsidP="00405D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253</w:t>
            </w:r>
          </w:p>
        </w:tc>
        <w:tc>
          <w:tcPr>
            <w:tcW w:w="1322" w:type="dxa"/>
            <w:vMerge/>
            <w:shd w:val="clear" w:color="auto" w:fill="EEDDDA"/>
          </w:tcPr>
          <w:p w:rsidR="00405DAE" w:rsidRPr="006D1365" w:rsidRDefault="00405DAE" w:rsidP="00C405C8">
            <w:pPr>
              <w:keepNext/>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bl>
    <w:p w:rsidR="00132796" w:rsidRDefault="00C405C8" w:rsidP="00C405C8">
      <w:pPr>
        <w:pStyle w:val="Caption"/>
        <w:ind w:left="720"/>
        <w:jc w:val="center"/>
      </w:pPr>
      <w:r>
        <w:t xml:space="preserve">Table </w:t>
      </w:r>
      <w:r w:rsidR="00AC46A2">
        <w:fldChar w:fldCharType="begin"/>
      </w:r>
      <w:r w:rsidR="00AC46A2">
        <w:instrText xml:space="preserve"> SEQ Table \* ARABIC </w:instrText>
      </w:r>
      <w:r w:rsidR="00AC46A2">
        <w:fldChar w:fldCharType="separate"/>
      </w:r>
      <w:r w:rsidR="00200F9C">
        <w:rPr>
          <w:noProof/>
        </w:rPr>
        <w:t>3</w:t>
      </w:r>
      <w:r w:rsidR="00AC46A2">
        <w:rPr>
          <w:noProof/>
        </w:rPr>
        <w:fldChar w:fldCharType="end"/>
      </w:r>
      <w:r>
        <w:t xml:space="preserve"> - Summary Statistics for Population Groups</w:t>
      </w:r>
    </w:p>
    <w:p w:rsidR="00C405C8" w:rsidRDefault="00C405C8" w:rsidP="00C405C8">
      <w:pPr>
        <w:ind w:left="720"/>
      </w:pPr>
      <w:r>
        <w:t>With population groups showing a different distribution for heart mortality rates, this calculated feature is another good candidate for use in a predictive model.</w:t>
      </w:r>
    </w:p>
    <w:p w:rsidR="000B139F" w:rsidRDefault="000B139F" w:rsidP="00C405C8">
      <w:pPr>
        <w:ind w:left="720"/>
      </w:pPr>
      <w:r>
        <w:lastRenderedPageBreak/>
        <w:t>The analysis went one step further and grouped the RUCC values based on whether or not the county was considered to be a metropolitan area or not.  Based solely on the first word in the RUCC category title (see Table 2), each county was classified as either “Metro” or “Non-Metro”.</w:t>
      </w:r>
    </w:p>
    <w:p w:rsidR="000B139F" w:rsidRDefault="000B139F" w:rsidP="000B139F">
      <w:pPr>
        <w:keepNext/>
        <w:ind w:left="720"/>
      </w:pPr>
      <w:r>
        <w:rPr>
          <w:noProof/>
        </w:rPr>
        <w:drawing>
          <wp:inline distT="0" distB="0" distL="0" distR="0">
            <wp:extent cx="5943600" cy="3987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a - Metro Hi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0B139F" w:rsidRDefault="000B139F" w:rsidP="00200F9C">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8</w:t>
      </w:r>
      <w:r w:rsidR="00AC46A2">
        <w:rPr>
          <w:noProof/>
        </w:rPr>
        <w:fldChar w:fldCharType="end"/>
      </w:r>
      <w:r>
        <w:t xml:space="preserve"> - Histogram for Metropolitan Type</w:t>
      </w:r>
    </w:p>
    <w:p w:rsidR="00200F9C" w:rsidRDefault="00200F9C" w:rsidP="00200F9C">
      <w:pPr>
        <w:keepNext/>
        <w:ind w:left="720"/>
      </w:pPr>
      <w:r>
        <w:rPr>
          <w:noProof/>
        </w:rPr>
        <w:lastRenderedPageBreak/>
        <w:drawing>
          <wp:inline distT="0" distB="0" distL="0" distR="0">
            <wp:extent cx="5943600"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b - Metro BP.png"/>
                    <pic:cNvPicPr/>
                  </pic:nvPicPr>
                  <pic:blipFill rotWithShape="1">
                    <a:blip r:embed="rId16">
                      <a:extLst>
                        <a:ext uri="{28A0092B-C50C-407E-A947-70E740481C1C}">
                          <a14:useLocalDpi xmlns:a14="http://schemas.microsoft.com/office/drawing/2010/main" val="0"/>
                        </a:ext>
                      </a:extLst>
                    </a:blip>
                    <a:srcRect b="4682"/>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rsidR="000B139F" w:rsidRDefault="00200F9C" w:rsidP="00200F9C">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9</w:t>
      </w:r>
      <w:r w:rsidR="00AC46A2">
        <w:rPr>
          <w:noProof/>
        </w:rPr>
        <w:fldChar w:fldCharType="end"/>
      </w:r>
      <w:r>
        <w:t xml:space="preserve"> - Box Plots for Metropolitan Type</w:t>
      </w:r>
    </w:p>
    <w:p w:rsidR="00200F9C" w:rsidRDefault="00200F9C" w:rsidP="00200F9C">
      <w:pPr>
        <w:ind w:left="720"/>
      </w:pPr>
      <w:r>
        <w:t>The box plots clearly show that metropolitan areas have a lower median than the population, while non-metropolitan areas skew higher than the population as a whole.</w:t>
      </w:r>
    </w:p>
    <w:tbl>
      <w:tblPr>
        <w:tblStyle w:val="GridTable1Light"/>
        <w:tblW w:w="8545" w:type="dxa"/>
        <w:jc w:val="center"/>
        <w:tblLook w:val="04A0" w:firstRow="1" w:lastRow="0" w:firstColumn="1" w:lastColumn="0" w:noHBand="0" w:noVBand="1"/>
      </w:tblPr>
      <w:tblGrid>
        <w:gridCol w:w="4140"/>
        <w:gridCol w:w="1378"/>
        <w:gridCol w:w="1322"/>
        <w:gridCol w:w="1322"/>
        <w:gridCol w:w="383"/>
      </w:tblGrid>
      <w:tr w:rsidR="00200F9C" w:rsidRPr="006D1365" w:rsidTr="00200F9C">
        <w:trPr>
          <w:gridAfter w:val="1"/>
          <w:cnfStyle w:val="100000000000" w:firstRow="1" w:lastRow="0" w:firstColumn="0" w:lastColumn="0" w:oddVBand="0" w:evenVBand="0" w:oddHBand="0" w:evenHBand="0" w:firstRowFirstColumn="0" w:firstRowLastColumn="0" w:lastRowFirstColumn="0" w:lastRowLastColumn="0"/>
          <w:wAfter w:w="383" w:type="dxa"/>
          <w:trHeight w:val="300"/>
          <w:jc w:val="center"/>
        </w:trPr>
        <w:tc>
          <w:tcPr>
            <w:cnfStyle w:val="001000000000" w:firstRow="0" w:lastRow="0" w:firstColumn="1" w:lastColumn="0" w:oddVBand="0" w:evenVBand="0" w:oddHBand="0" w:evenHBand="0" w:firstRowFirstColumn="0" w:firstRowLastColumn="0" w:lastRowFirstColumn="0" w:lastRowLastColumn="0"/>
            <w:tcW w:w="6840" w:type="dxa"/>
            <w:gridSpan w:val="3"/>
            <w:tcBorders>
              <w:right w:val="single" w:sz="4" w:space="0" w:color="auto"/>
            </w:tcBorders>
            <w:noWrap/>
          </w:tcPr>
          <w:p w:rsidR="00200F9C" w:rsidRPr="006D1365" w:rsidRDefault="00200F9C" w:rsidP="00BE439D">
            <w:pPr>
              <w:spacing w:before="0"/>
              <w:jc w:val="center"/>
              <w:rPr>
                <w:rFonts w:ascii="Calibri" w:eastAsia="Times New Roman" w:hAnsi="Calibri" w:cs="Calibri"/>
                <w:color w:val="000000"/>
                <w:sz w:val="22"/>
                <w:szCs w:val="22"/>
              </w:rPr>
            </w:pPr>
            <w:r>
              <w:rPr>
                <w:rFonts w:ascii="Calibri" w:eastAsia="Times New Roman" w:hAnsi="Calibri" w:cs="Calibri"/>
                <w:color w:val="000000"/>
                <w:sz w:val="22"/>
                <w:szCs w:val="22"/>
              </w:rPr>
              <w:t>Pop Mean = 279.7, Pop Median = 275.0</w:t>
            </w:r>
          </w:p>
        </w:tc>
        <w:tc>
          <w:tcPr>
            <w:tcW w:w="1322" w:type="dxa"/>
            <w:tcBorders>
              <w:top w:val="nil"/>
              <w:left w:val="single" w:sz="4" w:space="0" w:color="auto"/>
              <w:bottom w:val="nil"/>
              <w:right w:val="nil"/>
            </w:tcBorders>
          </w:tcPr>
          <w:p w:rsidR="00200F9C" w:rsidRPr="006D1365" w:rsidRDefault="00200F9C" w:rsidP="00BE439D">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200F9C" w:rsidRPr="006D1365" w:rsidTr="00200F9C">
        <w:trPr>
          <w:gridAfter w:val="1"/>
          <w:wAfter w:w="383" w:type="dxa"/>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bottom w:val="single" w:sz="12" w:space="0" w:color="auto"/>
            </w:tcBorders>
            <w:noWrap/>
            <w:vAlign w:val="bottom"/>
            <w:hideMark/>
          </w:tcPr>
          <w:p w:rsidR="00200F9C" w:rsidRDefault="00200F9C" w:rsidP="00BE439D">
            <w:pPr>
              <w:rPr>
                <w:rFonts w:ascii="Calibri" w:hAnsi="Calibri" w:cs="Calibri"/>
                <w:color w:val="000000"/>
                <w:sz w:val="22"/>
                <w:szCs w:val="22"/>
              </w:rPr>
            </w:pPr>
            <w:r>
              <w:rPr>
                <w:rFonts w:ascii="Calibri" w:hAnsi="Calibri" w:cs="Calibri"/>
                <w:color w:val="000000"/>
                <w:sz w:val="22"/>
                <w:szCs w:val="22"/>
              </w:rPr>
              <w:t>Metropolitan Type</w:t>
            </w:r>
          </w:p>
        </w:tc>
        <w:tc>
          <w:tcPr>
            <w:tcW w:w="1378" w:type="dxa"/>
            <w:tcBorders>
              <w:bottom w:val="single" w:sz="12" w:space="0" w:color="auto"/>
            </w:tcBorders>
            <w:noWrap/>
            <w:vAlign w:val="bottom"/>
            <w:hideMark/>
          </w:tcPr>
          <w:p w:rsidR="00200F9C" w:rsidRDefault="00200F9C" w:rsidP="00BE439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Mean</w:t>
            </w:r>
          </w:p>
        </w:tc>
        <w:tc>
          <w:tcPr>
            <w:tcW w:w="1322" w:type="dxa"/>
            <w:tcBorders>
              <w:bottom w:val="single" w:sz="12" w:space="0" w:color="auto"/>
              <w:right w:val="single" w:sz="4" w:space="0" w:color="auto"/>
            </w:tcBorders>
            <w:noWrap/>
            <w:vAlign w:val="bottom"/>
            <w:hideMark/>
          </w:tcPr>
          <w:p w:rsidR="00200F9C" w:rsidRDefault="00200F9C" w:rsidP="00BE439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Median</w:t>
            </w:r>
          </w:p>
        </w:tc>
        <w:tc>
          <w:tcPr>
            <w:tcW w:w="1322" w:type="dxa"/>
            <w:tcBorders>
              <w:top w:val="nil"/>
              <w:left w:val="single" w:sz="4" w:space="0" w:color="auto"/>
              <w:bottom w:val="single" w:sz="4" w:space="0" w:color="auto"/>
              <w:right w:val="nil"/>
            </w:tcBorders>
          </w:tcPr>
          <w:p w:rsidR="00200F9C" w:rsidRPr="006D1365" w:rsidRDefault="00200F9C" w:rsidP="00BE439D">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200F9C" w:rsidRPr="006D1365" w:rsidTr="00200F9C">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12" w:space="0" w:color="auto"/>
            </w:tcBorders>
            <w:noWrap/>
            <w:vAlign w:val="bottom"/>
            <w:hideMark/>
          </w:tcPr>
          <w:p w:rsidR="00200F9C" w:rsidRDefault="00200F9C" w:rsidP="00BE439D">
            <w:pPr>
              <w:rPr>
                <w:rFonts w:ascii="Calibri" w:hAnsi="Calibri" w:cs="Calibri"/>
                <w:color w:val="000000"/>
                <w:sz w:val="22"/>
                <w:szCs w:val="22"/>
              </w:rPr>
            </w:pPr>
            <w:r>
              <w:rPr>
                <w:rFonts w:ascii="Calibri" w:hAnsi="Calibri" w:cs="Calibri"/>
                <w:color w:val="000000"/>
                <w:sz w:val="22"/>
                <w:szCs w:val="22"/>
              </w:rPr>
              <w:t>Metro</w:t>
            </w:r>
          </w:p>
        </w:tc>
        <w:tc>
          <w:tcPr>
            <w:tcW w:w="1378" w:type="dxa"/>
            <w:tcBorders>
              <w:top w:val="single" w:sz="12" w:space="0" w:color="auto"/>
            </w:tcBorders>
            <w:shd w:val="clear" w:color="auto" w:fill="E2EFD9" w:themeFill="accent6" w:themeFillTint="33"/>
            <w:noWrap/>
            <w:vAlign w:val="center"/>
            <w:hideMark/>
          </w:tcPr>
          <w:p w:rsidR="00200F9C" w:rsidRDefault="00200F9C" w:rsidP="00200F9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266</w:t>
            </w:r>
          </w:p>
        </w:tc>
        <w:tc>
          <w:tcPr>
            <w:tcW w:w="1322" w:type="dxa"/>
            <w:tcBorders>
              <w:top w:val="single" w:sz="12" w:space="0" w:color="auto"/>
            </w:tcBorders>
            <w:shd w:val="clear" w:color="auto" w:fill="E2EFD9" w:themeFill="accent6" w:themeFillTint="33"/>
            <w:noWrap/>
            <w:vAlign w:val="center"/>
            <w:hideMark/>
          </w:tcPr>
          <w:p w:rsidR="00200F9C" w:rsidRDefault="00200F9C" w:rsidP="00200F9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6100"/>
                <w:sz w:val="22"/>
                <w:szCs w:val="22"/>
              </w:rPr>
            </w:pPr>
            <w:r>
              <w:rPr>
                <w:rFonts w:ascii="Calibri" w:hAnsi="Calibri" w:cs="Calibri"/>
                <w:color w:val="006100"/>
                <w:sz w:val="22"/>
                <w:szCs w:val="22"/>
              </w:rPr>
              <w:t>261</w:t>
            </w:r>
          </w:p>
        </w:tc>
        <w:tc>
          <w:tcPr>
            <w:tcW w:w="1705" w:type="dxa"/>
            <w:gridSpan w:val="2"/>
            <w:tcBorders>
              <w:top w:val="single" w:sz="4" w:space="0" w:color="auto"/>
            </w:tcBorders>
            <w:shd w:val="clear" w:color="auto" w:fill="E2EFD9" w:themeFill="accent6" w:themeFillTint="33"/>
            <w:vAlign w:val="bottom"/>
          </w:tcPr>
          <w:p w:rsidR="00200F9C" w:rsidRPr="00F62C7E" w:rsidRDefault="00200F9C" w:rsidP="00200F9C">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F62C7E">
              <w:rPr>
                <w:rFonts w:ascii="Calibri" w:eastAsia="Times New Roman" w:hAnsi="Calibri" w:cs="Calibri"/>
                <w:color w:val="006100"/>
                <w:sz w:val="22"/>
                <w:szCs w:val="22"/>
              </w:rPr>
              <w:t>Below Pop</w:t>
            </w:r>
            <w:r>
              <w:rPr>
                <w:rFonts w:ascii="Calibri" w:eastAsia="Times New Roman" w:hAnsi="Calibri" w:cs="Calibri"/>
                <w:color w:val="006100"/>
                <w:sz w:val="22"/>
                <w:szCs w:val="22"/>
              </w:rPr>
              <w:t xml:space="preserve"> &gt; 1%</w:t>
            </w:r>
          </w:p>
        </w:tc>
      </w:tr>
      <w:tr w:rsidR="00200F9C" w:rsidRPr="006D1365" w:rsidTr="00200F9C">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noWrap/>
            <w:vAlign w:val="bottom"/>
            <w:hideMark/>
          </w:tcPr>
          <w:p w:rsidR="00200F9C" w:rsidRDefault="00200F9C" w:rsidP="00BE439D">
            <w:pPr>
              <w:rPr>
                <w:rFonts w:ascii="Calibri" w:hAnsi="Calibri" w:cs="Calibri"/>
                <w:color w:val="000000"/>
                <w:sz w:val="22"/>
                <w:szCs w:val="22"/>
              </w:rPr>
            </w:pPr>
            <w:r>
              <w:rPr>
                <w:rFonts w:ascii="Calibri" w:hAnsi="Calibri" w:cs="Calibri"/>
                <w:color w:val="000000"/>
                <w:sz w:val="22"/>
                <w:szCs w:val="22"/>
              </w:rPr>
              <w:t>Non-Metro</w:t>
            </w:r>
          </w:p>
        </w:tc>
        <w:tc>
          <w:tcPr>
            <w:tcW w:w="1378" w:type="dxa"/>
            <w:shd w:val="clear" w:color="auto" w:fill="EEDDDA"/>
            <w:noWrap/>
            <w:vAlign w:val="center"/>
            <w:hideMark/>
          </w:tcPr>
          <w:p w:rsidR="00200F9C" w:rsidRDefault="00200F9C" w:rsidP="00200F9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9C0006"/>
                <w:sz w:val="22"/>
                <w:szCs w:val="22"/>
              </w:rPr>
            </w:pPr>
            <w:r>
              <w:rPr>
                <w:rFonts w:ascii="Calibri" w:hAnsi="Calibri" w:cs="Calibri"/>
                <w:color w:val="9C0006"/>
                <w:sz w:val="22"/>
                <w:szCs w:val="22"/>
              </w:rPr>
              <w:t>286</w:t>
            </w:r>
          </w:p>
        </w:tc>
        <w:tc>
          <w:tcPr>
            <w:tcW w:w="1322" w:type="dxa"/>
            <w:shd w:val="clear" w:color="auto" w:fill="EEDDDA"/>
            <w:noWrap/>
            <w:vAlign w:val="center"/>
            <w:hideMark/>
          </w:tcPr>
          <w:p w:rsidR="00200F9C" w:rsidRDefault="00200F9C" w:rsidP="00200F9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9C0006"/>
                <w:sz w:val="22"/>
                <w:szCs w:val="22"/>
              </w:rPr>
            </w:pPr>
            <w:r>
              <w:rPr>
                <w:rFonts w:ascii="Calibri" w:hAnsi="Calibri" w:cs="Calibri"/>
                <w:color w:val="9C0006"/>
                <w:sz w:val="22"/>
                <w:szCs w:val="22"/>
              </w:rPr>
              <w:t>282</w:t>
            </w:r>
          </w:p>
        </w:tc>
        <w:tc>
          <w:tcPr>
            <w:tcW w:w="1705" w:type="dxa"/>
            <w:gridSpan w:val="2"/>
            <w:shd w:val="clear" w:color="auto" w:fill="EBDDDD"/>
            <w:vAlign w:val="bottom"/>
          </w:tcPr>
          <w:p w:rsidR="00200F9C" w:rsidRPr="006D1365" w:rsidRDefault="00200F9C" w:rsidP="00200F9C">
            <w:pPr>
              <w:keepNext/>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00F9C">
              <w:rPr>
                <w:rFonts w:ascii="Calibri" w:eastAsia="Times New Roman" w:hAnsi="Calibri" w:cs="Calibri"/>
                <w:color w:val="C00000"/>
                <w:sz w:val="22"/>
                <w:szCs w:val="22"/>
              </w:rPr>
              <w:t>Above Pop &gt; 1%</w:t>
            </w:r>
          </w:p>
        </w:tc>
      </w:tr>
    </w:tbl>
    <w:p w:rsidR="00200F9C" w:rsidRDefault="00200F9C" w:rsidP="00200F9C">
      <w:pPr>
        <w:pStyle w:val="Caption"/>
        <w:ind w:left="720"/>
        <w:jc w:val="center"/>
      </w:pPr>
      <w:r>
        <w:t xml:space="preserve">Table </w:t>
      </w:r>
      <w:r w:rsidR="00AC46A2">
        <w:fldChar w:fldCharType="begin"/>
      </w:r>
      <w:r w:rsidR="00AC46A2">
        <w:instrText xml:space="preserve"> SEQ Table \* ARABIC </w:instrText>
      </w:r>
      <w:r w:rsidR="00AC46A2">
        <w:fldChar w:fldCharType="separate"/>
      </w:r>
      <w:r>
        <w:rPr>
          <w:noProof/>
        </w:rPr>
        <w:t>4</w:t>
      </w:r>
      <w:r w:rsidR="00AC46A2">
        <w:rPr>
          <w:noProof/>
        </w:rPr>
        <w:fldChar w:fldCharType="end"/>
      </w:r>
      <w:r>
        <w:t>- Summary Statistics for Metropolitan Type</w:t>
      </w:r>
    </w:p>
    <w:p w:rsidR="00200F9C" w:rsidRDefault="00914625" w:rsidP="00200F9C">
      <w:pPr>
        <w:ind w:left="720"/>
      </w:pPr>
      <w:r>
        <w:t>A</w:t>
      </w:r>
      <w:r w:rsidR="00FB7C24">
        <w:t xml:space="preserve"> two-category classification </w:t>
      </w:r>
      <w:r>
        <w:t xml:space="preserve">that </w:t>
      </w:r>
      <w:r w:rsidR="00FB7C24">
        <w:t>shows one subset being clearly below the mean and one clearly above the mean leads to the conclusion that Metropolitan Type is a strong candidate for the predictive model.</w:t>
      </w:r>
    </w:p>
    <w:p w:rsidR="0054791A" w:rsidRPr="00200F9C" w:rsidRDefault="0054791A" w:rsidP="00200F9C">
      <w:pPr>
        <w:ind w:left="720"/>
      </w:pPr>
    </w:p>
    <w:p w:rsidR="000B139F" w:rsidRDefault="0054791A" w:rsidP="0054791A">
      <w:pPr>
        <w:pStyle w:val="Heading5"/>
        <w:ind w:left="720"/>
      </w:pPr>
      <w:r>
        <w:t>Air Pollution</w:t>
      </w:r>
    </w:p>
    <w:p w:rsidR="002B318F" w:rsidRDefault="002B318F" w:rsidP="0054791A">
      <w:pPr>
        <w:ind w:left="720"/>
      </w:pPr>
      <w:r>
        <w:t xml:space="preserve">Ambient air pollution for the county is presented in the data set as a measure of the concentration of fine particulate matter, as measured in </w:t>
      </w:r>
      <w:r>
        <w:rPr>
          <w:rFonts w:cstheme="minorHAnsi"/>
        </w:rPr>
        <w:t>µ</w:t>
      </w:r>
      <w:r>
        <w:t>g/m3. These figures were presented as positive integers, so as a feature of the data set it is more akin to a categorical variable.  The initial spread of values showed a large discrepancy in population size, especially in the min and max regions (Figure 10A), so values were grouped into a smaller number of populations that were closer in size (Figure 10B)</w:t>
      </w:r>
    </w:p>
    <w:p w:rsidR="002B318F" w:rsidRDefault="002B318F" w:rsidP="002B318F">
      <w:pPr>
        <w:keepNext/>
        <w:ind w:left="720"/>
      </w:pPr>
      <w:r>
        <w:rPr>
          <w:noProof/>
        </w:rPr>
        <w:lastRenderedPageBreak/>
        <w:drawing>
          <wp:inline distT="0" distB="0" distL="0" distR="0">
            <wp:extent cx="5942637" cy="24872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 po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637" cy="2487295"/>
                    </a:xfrm>
                    <a:prstGeom prst="rect">
                      <a:avLst/>
                    </a:prstGeom>
                  </pic:spPr>
                </pic:pic>
              </a:graphicData>
            </a:graphic>
          </wp:inline>
        </w:drawing>
      </w:r>
    </w:p>
    <w:p w:rsidR="002B318F" w:rsidRDefault="002B318F" w:rsidP="002B318F">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10</w:t>
      </w:r>
      <w:r w:rsidR="00AC46A2">
        <w:rPr>
          <w:noProof/>
        </w:rPr>
        <w:fldChar w:fldCharType="end"/>
      </w:r>
      <w:r>
        <w:t xml:space="preserve"> - Air Pollution. (A) Original population spread; (B) population spread after grouping</w:t>
      </w:r>
    </w:p>
    <w:p w:rsidR="0054791A" w:rsidRDefault="007D06E5" w:rsidP="0054791A">
      <w:pPr>
        <w:ind w:left="720"/>
      </w:pPr>
      <w:r>
        <w:t>Using the new groups, histograms and boxplots show the spreads to be approximately normal, with some groups skewing below the population mean and some above.</w:t>
      </w:r>
      <w:r w:rsidR="00B81864">
        <w:t xml:space="preserve"> The group with 12 </w:t>
      </w:r>
      <w:r w:rsidR="00B81864">
        <w:rPr>
          <w:rFonts w:cstheme="minorHAnsi"/>
        </w:rPr>
        <w:t>µ</w:t>
      </w:r>
      <w:r w:rsidR="00B81864">
        <w:t>g/m</w:t>
      </w:r>
      <w:r w:rsidR="00B81864" w:rsidRPr="00B81864">
        <w:rPr>
          <w:vertAlign w:val="superscript"/>
        </w:rPr>
        <w:t>3</w:t>
      </w:r>
      <w:r w:rsidR="00B81864">
        <w:t xml:space="preserve"> shows a mean just at the population mean, with a median slightly lower.</w:t>
      </w:r>
    </w:p>
    <w:p w:rsidR="007D06E5" w:rsidRDefault="007D06E5" w:rsidP="007D06E5">
      <w:pPr>
        <w:keepNext/>
        <w:ind w:left="720"/>
      </w:pPr>
      <w:r>
        <w:rPr>
          <w:noProof/>
        </w:rPr>
        <w:drawing>
          <wp:inline distT="0" distB="0" distL="0" distR="0">
            <wp:extent cx="5943600" cy="3987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 Pol - Hi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7D06E5" w:rsidRDefault="007D06E5" w:rsidP="007D06E5">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11</w:t>
      </w:r>
      <w:r w:rsidR="00AC46A2">
        <w:rPr>
          <w:noProof/>
        </w:rPr>
        <w:fldChar w:fldCharType="end"/>
      </w:r>
      <w:r>
        <w:t xml:space="preserve"> - Histograms for Air Pollution</w:t>
      </w:r>
    </w:p>
    <w:p w:rsidR="007D06E5" w:rsidRDefault="007D06E5" w:rsidP="007D06E5">
      <w:pPr>
        <w:keepNext/>
        <w:tabs>
          <w:tab w:val="left" w:pos="90"/>
        </w:tabs>
        <w:ind w:left="720"/>
      </w:pPr>
      <w:r>
        <w:rPr>
          <w:noProof/>
        </w:rPr>
        <w:lastRenderedPageBreak/>
        <w:drawing>
          <wp:inline distT="0" distB="0" distL="0" distR="0">
            <wp:extent cx="5943600" cy="3987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 Pol B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7D06E5" w:rsidRDefault="007D06E5" w:rsidP="007D06E5">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12</w:t>
      </w:r>
      <w:r w:rsidR="00AC46A2">
        <w:rPr>
          <w:noProof/>
        </w:rPr>
        <w:fldChar w:fldCharType="end"/>
      </w:r>
      <w:r>
        <w:t xml:space="preserve"> - Box plots for Air Pollution</w:t>
      </w:r>
    </w:p>
    <w:p w:rsidR="00B81864" w:rsidRPr="00B81864" w:rsidRDefault="00B81864" w:rsidP="00B81864">
      <w:pPr>
        <w:ind w:left="720"/>
      </w:pPr>
      <w:r>
        <w:t>A statistical summary of the air pollution groups confirms the interpretation of the histogram and box plots, and makes this feature a suitable candidate for a predictive model.</w:t>
      </w:r>
    </w:p>
    <w:tbl>
      <w:tblPr>
        <w:tblStyle w:val="GridTable1Light"/>
        <w:tblW w:w="8162" w:type="dxa"/>
        <w:jc w:val="center"/>
        <w:tblLook w:val="04A0" w:firstRow="1" w:lastRow="0" w:firstColumn="1" w:lastColumn="0" w:noHBand="0" w:noVBand="1"/>
      </w:tblPr>
      <w:tblGrid>
        <w:gridCol w:w="4140"/>
        <w:gridCol w:w="1378"/>
        <w:gridCol w:w="1322"/>
        <w:gridCol w:w="1322"/>
      </w:tblGrid>
      <w:tr w:rsidR="007D06E5" w:rsidRPr="006D1365" w:rsidTr="00EE656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40" w:type="dxa"/>
            <w:gridSpan w:val="3"/>
            <w:tcBorders>
              <w:bottom w:val="single" w:sz="4" w:space="0" w:color="auto"/>
              <w:right w:val="single" w:sz="4" w:space="0" w:color="auto"/>
            </w:tcBorders>
            <w:noWrap/>
          </w:tcPr>
          <w:p w:rsidR="007D06E5" w:rsidRPr="006D1365" w:rsidRDefault="007D06E5" w:rsidP="00BE439D">
            <w:pPr>
              <w:spacing w:before="0"/>
              <w:jc w:val="center"/>
              <w:rPr>
                <w:rFonts w:ascii="Calibri" w:eastAsia="Times New Roman" w:hAnsi="Calibri" w:cs="Calibri"/>
                <w:color w:val="000000"/>
                <w:sz w:val="22"/>
                <w:szCs w:val="22"/>
              </w:rPr>
            </w:pPr>
            <w:r>
              <w:rPr>
                <w:rFonts w:ascii="Calibri" w:eastAsia="Times New Roman" w:hAnsi="Calibri" w:cs="Calibri"/>
                <w:color w:val="000000"/>
                <w:sz w:val="22"/>
                <w:szCs w:val="22"/>
              </w:rPr>
              <w:t>Pop Mean = 279.7, Pop Median = 275.0</w:t>
            </w:r>
          </w:p>
        </w:tc>
        <w:tc>
          <w:tcPr>
            <w:tcW w:w="1322" w:type="dxa"/>
            <w:tcBorders>
              <w:top w:val="nil"/>
              <w:left w:val="single" w:sz="4" w:space="0" w:color="auto"/>
              <w:bottom w:val="nil"/>
              <w:right w:val="nil"/>
            </w:tcBorders>
          </w:tcPr>
          <w:p w:rsidR="007D06E5" w:rsidRPr="006D1365" w:rsidRDefault="007D06E5" w:rsidP="00BE439D">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7D06E5" w:rsidRPr="006D1365" w:rsidTr="00EE6564">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noWrap/>
            <w:vAlign w:val="bottom"/>
            <w:hideMark/>
          </w:tcPr>
          <w:p w:rsidR="007D06E5" w:rsidRDefault="00EE6564" w:rsidP="00EE6564">
            <w:pPr>
              <w:jc w:val="center"/>
              <w:rPr>
                <w:rFonts w:ascii="Calibri" w:hAnsi="Calibri" w:cs="Calibri"/>
                <w:color w:val="000000"/>
                <w:sz w:val="22"/>
                <w:szCs w:val="22"/>
              </w:rPr>
            </w:pPr>
            <w:r>
              <w:rPr>
                <w:rFonts w:ascii="Calibri" w:hAnsi="Calibri" w:cs="Calibri"/>
                <w:color w:val="000000"/>
                <w:sz w:val="22"/>
                <w:szCs w:val="22"/>
              </w:rPr>
              <w:t>Air Pollution (µg/m</w:t>
            </w:r>
            <w:r w:rsidRPr="00B81864">
              <w:rPr>
                <w:rFonts w:ascii="Calibri" w:hAnsi="Calibri" w:cs="Calibri"/>
                <w:color w:val="000000"/>
                <w:sz w:val="22"/>
                <w:szCs w:val="22"/>
                <w:vertAlign w:val="superscript"/>
              </w:rPr>
              <w:t>3</w:t>
            </w:r>
            <w:r>
              <w:rPr>
                <w:rFonts w:ascii="Calibri" w:hAnsi="Calibri" w:cs="Calibri"/>
                <w:color w:val="000000"/>
                <w:sz w:val="22"/>
                <w:szCs w:val="22"/>
              </w:rPr>
              <w:t>)</w:t>
            </w:r>
          </w:p>
        </w:tc>
        <w:tc>
          <w:tcPr>
            <w:tcW w:w="1378" w:type="dxa"/>
            <w:tcBorders>
              <w:top w:val="single" w:sz="4" w:space="0" w:color="auto"/>
              <w:left w:val="single" w:sz="4" w:space="0" w:color="auto"/>
              <w:bottom w:val="single" w:sz="4" w:space="0" w:color="auto"/>
              <w:right w:val="single" w:sz="4" w:space="0" w:color="auto"/>
            </w:tcBorders>
            <w:noWrap/>
            <w:vAlign w:val="bottom"/>
            <w:hideMark/>
          </w:tcPr>
          <w:p w:rsidR="007D06E5" w:rsidRDefault="007D06E5" w:rsidP="00BE439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Mean</w:t>
            </w:r>
          </w:p>
        </w:tc>
        <w:tc>
          <w:tcPr>
            <w:tcW w:w="1322" w:type="dxa"/>
            <w:tcBorders>
              <w:top w:val="single" w:sz="4" w:space="0" w:color="auto"/>
              <w:left w:val="single" w:sz="4" w:space="0" w:color="auto"/>
              <w:bottom w:val="single" w:sz="4" w:space="0" w:color="auto"/>
              <w:right w:val="single" w:sz="4" w:space="0" w:color="auto"/>
            </w:tcBorders>
            <w:noWrap/>
            <w:vAlign w:val="bottom"/>
            <w:hideMark/>
          </w:tcPr>
          <w:p w:rsidR="007D06E5" w:rsidRDefault="007D06E5" w:rsidP="00BE439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Median</w:t>
            </w:r>
          </w:p>
        </w:tc>
        <w:tc>
          <w:tcPr>
            <w:tcW w:w="1322" w:type="dxa"/>
            <w:tcBorders>
              <w:top w:val="nil"/>
              <w:left w:val="single" w:sz="4" w:space="0" w:color="auto"/>
              <w:bottom w:val="single" w:sz="4" w:space="0" w:color="auto"/>
              <w:right w:val="nil"/>
            </w:tcBorders>
          </w:tcPr>
          <w:p w:rsidR="007D06E5" w:rsidRPr="006D1365" w:rsidRDefault="007D06E5" w:rsidP="00BE439D">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EE6564" w:rsidRPr="006D1365" w:rsidTr="00EE6564">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6564" w:rsidRDefault="00EE6564" w:rsidP="00EE6564">
            <w:pPr>
              <w:jc w:val="center"/>
              <w:rPr>
                <w:rFonts w:ascii="Calibri" w:hAnsi="Calibri" w:cs="Calibri"/>
                <w:color w:val="000000"/>
                <w:sz w:val="22"/>
                <w:szCs w:val="22"/>
              </w:rPr>
            </w:pPr>
            <w:r>
              <w:rPr>
                <w:rFonts w:ascii="Calibri" w:hAnsi="Calibri" w:cs="Calibri"/>
                <w:color w:val="000000"/>
                <w:sz w:val="22"/>
                <w:szCs w:val="22"/>
              </w:rPr>
              <w:t>&lt;= 10</w:t>
            </w:r>
          </w:p>
        </w:tc>
        <w:tc>
          <w:tcPr>
            <w:tcW w:w="137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color w:val="538135" w:themeColor="accent6" w:themeShade="BF"/>
                <w:sz w:val="22"/>
                <w:szCs w:val="22"/>
              </w:rPr>
              <w:t>275</w:t>
            </w:r>
          </w:p>
        </w:tc>
        <w:tc>
          <w:tcPr>
            <w:tcW w:w="1322"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color w:val="538135" w:themeColor="accent6" w:themeShade="BF"/>
                <w:sz w:val="22"/>
                <w:szCs w:val="22"/>
              </w:rPr>
              <w:t>268.5</w:t>
            </w:r>
          </w:p>
        </w:tc>
        <w:tc>
          <w:tcPr>
            <w:tcW w:w="1322" w:type="dxa"/>
            <w:vMerge w:val="restart"/>
            <w:tcBorders>
              <w:top w:val="single" w:sz="4" w:space="0" w:color="auto"/>
              <w:left w:val="single" w:sz="4" w:space="0" w:color="auto"/>
            </w:tcBorders>
            <w:shd w:val="clear" w:color="auto" w:fill="E2EFD9" w:themeFill="accent6" w:themeFillTint="33"/>
            <w:vAlign w:val="center"/>
          </w:tcPr>
          <w:p w:rsidR="00EE6564" w:rsidRPr="00F62C7E" w:rsidRDefault="00EE6564" w:rsidP="00EE656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szCs w:val="22"/>
              </w:rPr>
            </w:pPr>
            <w:r w:rsidRPr="00F62C7E">
              <w:rPr>
                <w:rFonts w:ascii="Calibri" w:eastAsia="Times New Roman" w:hAnsi="Calibri" w:cs="Calibri"/>
                <w:color w:val="006100"/>
                <w:sz w:val="22"/>
                <w:szCs w:val="22"/>
              </w:rPr>
              <w:t>Below Pop</w:t>
            </w:r>
            <w:r>
              <w:rPr>
                <w:rFonts w:ascii="Calibri" w:eastAsia="Times New Roman" w:hAnsi="Calibri" w:cs="Calibri"/>
                <w:color w:val="006100"/>
                <w:sz w:val="22"/>
                <w:szCs w:val="22"/>
              </w:rPr>
              <w:t xml:space="preserve"> &gt; 1%</w:t>
            </w:r>
          </w:p>
        </w:tc>
      </w:tr>
      <w:tr w:rsidR="00EE6564" w:rsidRPr="006D1365" w:rsidTr="00EE6564">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6564" w:rsidRDefault="00EE6564" w:rsidP="00EE6564">
            <w:pPr>
              <w:jc w:val="center"/>
              <w:rPr>
                <w:rFonts w:ascii="Calibri" w:hAnsi="Calibri" w:cs="Calibri"/>
                <w:color w:val="000000"/>
                <w:sz w:val="22"/>
                <w:szCs w:val="22"/>
              </w:rPr>
            </w:pPr>
            <w:r>
              <w:rPr>
                <w:rFonts w:ascii="Calibri" w:hAnsi="Calibri" w:cs="Calibri"/>
                <w:color w:val="000000"/>
                <w:sz w:val="22"/>
                <w:szCs w:val="22"/>
              </w:rPr>
              <w:t>11</w:t>
            </w:r>
          </w:p>
        </w:tc>
        <w:tc>
          <w:tcPr>
            <w:tcW w:w="137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color w:val="538135" w:themeColor="accent6" w:themeShade="BF"/>
                <w:sz w:val="22"/>
                <w:szCs w:val="22"/>
              </w:rPr>
              <w:t>261</w:t>
            </w:r>
          </w:p>
        </w:tc>
        <w:tc>
          <w:tcPr>
            <w:tcW w:w="1322"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color w:val="538135" w:themeColor="accent6" w:themeShade="BF"/>
                <w:sz w:val="22"/>
                <w:szCs w:val="22"/>
              </w:rPr>
              <w:t>252</w:t>
            </w:r>
          </w:p>
        </w:tc>
        <w:tc>
          <w:tcPr>
            <w:tcW w:w="1322" w:type="dxa"/>
            <w:vMerge/>
            <w:tcBorders>
              <w:left w:val="single" w:sz="4" w:space="0" w:color="auto"/>
            </w:tcBorders>
            <w:vAlign w:val="center"/>
          </w:tcPr>
          <w:p w:rsidR="00EE6564" w:rsidRPr="006D1365" w:rsidRDefault="00EE6564" w:rsidP="00EE656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EE6564" w:rsidRPr="006D1365" w:rsidTr="00EE6564">
        <w:trPr>
          <w:trHeight w:val="7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6564" w:rsidRDefault="00EE6564" w:rsidP="00EE6564">
            <w:pPr>
              <w:jc w:val="center"/>
              <w:rPr>
                <w:rFonts w:ascii="Calibri" w:hAnsi="Calibri" w:cs="Calibri"/>
                <w:color w:val="000000"/>
                <w:sz w:val="22"/>
                <w:szCs w:val="22"/>
              </w:rPr>
            </w:pPr>
            <w:r>
              <w:rPr>
                <w:rFonts w:ascii="Calibri" w:hAnsi="Calibri" w:cs="Calibri"/>
                <w:color w:val="000000"/>
                <w:sz w:val="22"/>
                <w:szCs w:val="22"/>
              </w:rPr>
              <w:t>12</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sz w:val="22"/>
                <w:szCs w:val="22"/>
              </w:rPr>
              <w:t>280</w:t>
            </w:r>
          </w:p>
        </w:tc>
        <w:tc>
          <w:tcPr>
            <w:tcW w:w="1322"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538135" w:themeColor="accent6" w:themeShade="BF"/>
                <w:sz w:val="22"/>
                <w:szCs w:val="22"/>
              </w:rPr>
            </w:pPr>
            <w:r w:rsidRPr="00EE6564">
              <w:rPr>
                <w:rFonts w:ascii="Calibri" w:hAnsi="Calibri" w:cs="Calibri"/>
                <w:color w:val="538135" w:themeColor="accent6" w:themeShade="BF"/>
                <w:sz w:val="22"/>
                <w:szCs w:val="22"/>
              </w:rPr>
              <w:t>272</w:t>
            </w:r>
          </w:p>
        </w:tc>
        <w:tc>
          <w:tcPr>
            <w:tcW w:w="1322" w:type="dxa"/>
            <w:vMerge/>
            <w:tcBorders>
              <w:left w:val="single" w:sz="4" w:space="0" w:color="auto"/>
            </w:tcBorders>
            <w:shd w:val="clear" w:color="auto" w:fill="EEDDDA"/>
            <w:vAlign w:val="center"/>
          </w:tcPr>
          <w:p w:rsidR="00EE6564" w:rsidRPr="006D1365" w:rsidRDefault="00EE6564" w:rsidP="00EE656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r w:rsidR="00EE6564" w:rsidRPr="006D1365" w:rsidTr="00EE6564">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6564" w:rsidRDefault="00EE6564" w:rsidP="00EE6564">
            <w:pPr>
              <w:jc w:val="center"/>
              <w:rPr>
                <w:rFonts w:ascii="Calibri" w:hAnsi="Calibri" w:cs="Calibri"/>
                <w:color w:val="000000"/>
                <w:sz w:val="22"/>
                <w:szCs w:val="22"/>
              </w:rPr>
            </w:pPr>
            <w:r>
              <w:rPr>
                <w:rFonts w:ascii="Calibri" w:hAnsi="Calibri" w:cs="Calibri"/>
                <w:color w:val="000000"/>
                <w:sz w:val="22"/>
                <w:szCs w:val="22"/>
              </w:rPr>
              <w:t>13</w:t>
            </w:r>
          </w:p>
        </w:tc>
        <w:tc>
          <w:tcPr>
            <w:tcW w:w="1378" w:type="dxa"/>
            <w:tcBorders>
              <w:top w:val="single" w:sz="4" w:space="0" w:color="auto"/>
              <w:left w:val="single" w:sz="4" w:space="0" w:color="auto"/>
              <w:bottom w:val="single" w:sz="4" w:space="0" w:color="auto"/>
              <w:right w:val="single" w:sz="4" w:space="0" w:color="auto"/>
            </w:tcBorders>
            <w:shd w:val="clear" w:color="auto" w:fill="E9DFDF"/>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C00000"/>
                <w:sz w:val="22"/>
                <w:szCs w:val="22"/>
              </w:rPr>
            </w:pPr>
            <w:r w:rsidRPr="00EE6564">
              <w:rPr>
                <w:rFonts w:ascii="Calibri" w:hAnsi="Calibri" w:cs="Calibri"/>
                <w:color w:val="C00000"/>
                <w:sz w:val="22"/>
                <w:szCs w:val="22"/>
              </w:rPr>
              <w:t>288</w:t>
            </w:r>
          </w:p>
        </w:tc>
        <w:tc>
          <w:tcPr>
            <w:tcW w:w="1322" w:type="dxa"/>
            <w:tcBorders>
              <w:top w:val="single" w:sz="4" w:space="0" w:color="auto"/>
              <w:left w:val="single" w:sz="4" w:space="0" w:color="auto"/>
              <w:bottom w:val="single" w:sz="4" w:space="0" w:color="auto"/>
              <w:right w:val="single" w:sz="4" w:space="0" w:color="auto"/>
            </w:tcBorders>
            <w:shd w:val="clear" w:color="auto" w:fill="E9DFDF"/>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C00000"/>
                <w:sz w:val="22"/>
                <w:szCs w:val="22"/>
              </w:rPr>
            </w:pPr>
            <w:r w:rsidRPr="00EE6564">
              <w:rPr>
                <w:rFonts w:ascii="Calibri" w:hAnsi="Calibri" w:cs="Calibri"/>
                <w:color w:val="C00000"/>
                <w:sz w:val="22"/>
                <w:szCs w:val="22"/>
              </w:rPr>
              <w:t>287</w:t>
            </w:r>
          </w:p>
        </w:tc>
        <w:tc>
          <w:tcPr>
            <w:tcW w:w="1322" w:type="dxa"/>
            <w:vMerge w:val="restart"/>
            <w:tcBorders>
              <w:left w:val="single" w:sz="4" w:space="0" w:color="auto"/>
            </w:tcBorders>
            <w:shd w:val="clear" w:color="auto" w:fill="EEDDDA"/>
            <w:vAlign w:val="center"/>
          </w:tcPr>
          <w:p w:rsidR="00EE6564" w:rsidRPr="006D1365" w:rsidRDefault="00EE6564" w:rsidP="00EE656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r>
              <w:rPr>
                <w:rFonts w:ascii="Calibri" w:eastAsia="Times New Roman" w:hAnsi="Calibri" w:cs="Calibri"/>
                <w:color w:val="9C0006"/>
                <w:sz w:val="22"/>
                <w:szCs w:val="22"/>
              </w:rPr>
              <w:t>Above Pop &gt; 1%</w:t>
            </w:r>
          </w:p>
        </w:tc>
      </w:tr>
      <w:tr w:rsidR="00EE6564" w:rsidRPr="006D1365" w:rsidTr="00EE6564">
        <w:trPr>
          <w:trHeight w:val="300"/>
          <w:jc w:val="center"/>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6564" w:rsidRDefault="00EE6564" w:rsidP="00EE6564">
            <w:pPr>
              <w:jc w:val="center"/>
              <w:rPr>
                <w:rFonts w:ascii="Calibri" w:hAnsi="Calibri" w:cs="Calibri"/>
                <w:color w:val="000000"/>
                <w:sz w:val="22"/>
                <w:szCs w:val="22"/>
              </w:rPr>
            </w:pPr>
            <w:r>
              <w:rPr>
                <w:rFonts w:ascii="Calibri" w:hAnsi="Calibri" w:cs="Calibri"/>
                <w:color w:val="000000"/>
                <w:sz w:val="22"/>
                <w:szCs w:val="22"/>
              </w:rPr>
              <w:t>14+</w:t>
            </w:r>
          </w:p>
        </w:tc>
        <w:tc>
          <w:tcPr>
            <w:tcW w:w="1378" w:type="dxa"/>
            <w:tcBorders>
              <w:top w:val="single" w:sz="4" w:space="0" w:color="auto"/>
              <w:left w:val="single" w:sz="4" w:space="0" w:color="auto"/>
              <w:bottom w:val="single" w:sz="4" w:space="0" w:color="auto"/>
              <w:right w:val="single" w:sz="4" w:space="0" w:color="auto"/>
            </w:tcBorders>
            <w:shd w:val="clear" w:color="auto" w:fill="E9DFDF"/>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C00000"/>
                <w:sz w:val="22"/>
                <w:szCs w:val="22"/>
              </w:rPr>
            </w:pPr>
            <w:r w:rsidRPr="00EE6564">
              <w:rPr>
                <w:rFonts w:ascii="Calibri" w:hAnsi="Calibri" w:cs="Calibri"/>
                <w:color w:val="C00000"/>
                <w:sz w:val="22"/>
                <w:szCs w:val="22"/>
              </w:rPr>
              <w:t>303</w:t>
            </w:r>
          </w:p>
        </w:tc>
        <w:tc>
          <w:tcPr>
            <w:tcW w:w="1322" w:type="dxa"/>
            <w:tcBorders>
              <w:top w:val="single" w:sz="4" w:space="0" w:color="auto"/>
              <w:left w:val="single" w:sz="4" w:space="0" w:color="auto"/>
              <w:bottom w:val="single" w:sz="4" w:space="0" w:color="auto"/>
              <w:right w:val="single" w:sz="4" w:space="0" w:color="auto"/>
            </w:tcBorders>
            <w:shd w:val="clear" w:color="auto" w:fill="E9DFDF"/>
            <w:noWrap/>
            <w:vAlign w:val="bottom"/>
            <w:hideMark/>
          </w:tcPr>
          <w:p w:rsidR="00EE6564" w:rsidRPr="00EE6564" w:rsidRDefault="00EE6564" w:rsidP="00EE656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C00000"/>
                <w:sz w:val="22"/>
                <w:szCs w:val="22"/>
              </w:rPr>
            </w:pPr>
            <w:r w:rsidRPr="00EE6564">
              <w:rPr>
                <w:rFonts w:ascii="Calibri" w:hAnsi="Calibri" w:cs="Calibri"/>
                <w:color w:val="C00000"/>
                <w:sz w:val="22"/>
                <w:szCs w:val="22"/>
              </w:rPr>
              <w:t>299</w:t>
            </w:r>
          </w:p>
        </w:tc>
        <w:tc>
          <w:tcPr>
            <w:tcW w:w="1322" w:type="dxa"/>
            <w:vMerge/>
            <w:tcBorders>
              <w:left w:val="single" w:sz="4" w:space="0" w:color="auto"/>
            </w:tcBorders>
            <w:shd w:val="clear" w:color="auto" w:fill="EEDDDA"/>
          </w:tcPr>
          <w:p w:rsidR="00EE6564" w:rsidRPr="006D1365" w:rsidRDefault="00EE6564" w:rsidP="00EE6564">
            <w:pPr>
              <w:keepNext/>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sz w:val="22"/>
                <w:szCs w:val="22"/>
              </w:rPr>
            </w:pPr>
          </w:p>
        </w:tc>
      </w:tr>
    </w:tbl>
    <w:p w:rsidR="007D06E5" w:rsidRPr="007D06E5" w:rsidRDefault="007D06E5" w:rsidP="007D06E5">
      <w:pPr>
        <w:ind w:left="720"/>
      </w:pPr>
    </w:p>
    <w:p w:rsidR="00C405C8" w:rsidRDefault="0041740F" w:rsidP="0041740F">
      <w:pPr>
        <w:pStyle w:val="Heading3"/>
      </w:pPr>
      <w:r>
        <w:t>Correlation</w:t>
      </w:r>
      <w:r w:rsidR="006607A8">
        <w:rPr>
          <w:rStyle w:val="FootnoteReference"/>
        </w:rPr>
        <w:footnoteReference w:id="2"/>
      </w:r>
      <w:r>
        <w:t xml:space="preserve"> Between Numeric Features and Heart Disease MOrtality</w:t>
      </w:r>
    </w:p>
    <w:p w:rsidR="0041740F" w:rsidRPr="0041740F" w:rsidRDefault="0041740F" w:rsidP="0041740F">
      <w:pPr>
        <w:pStyle w:val="Heading4"/>
      </w:pPr>
      <w:r>
        <w:t>Economic Factors</w:t>
      </w:r>
    </w:p>
    <w:p w:rsidR="0041740F" w:rsidRDefault="00EA4D23" w:rsidP="0041740F">
      <w:r>
        <w:lastRenderedPageBreak/>
        <w:t>The remaining economic factors in the dataset (after already looking at typology) are numeric, so a correlation analysis is done to determine if any of these are candidates for use in a predictive model.</w:t>
      </w:r>
    </w:p>
    <w:p w:rsidR="00EA4D23" w:rsidRDefault="00EA4D23" w:rsidP="00EA4D23">
      <w:pPr>
        <w:pStyle w:val="ListParagraph"/>
        <w:numPr>
          <w:ilvl w:val="0"/>
          <w:numId w:val="9"/>
        </w:numPr>
      </w:pPr>
      <w:r>
        <w:t>% Civilian Labor</w:t>
      </w:r>
    </w:p>
    <w:p w:rsidR="00EA4D23" w:rsidRDefault="00EA4D23" w:rsidP="00EA4D23">
      <w:pPr>
        <w:pStyle w:val="ListParagraph"/>
        <w:numPr>
          <w:ilvl w:val="0"/>
          <w:numId w:val="9"/>
        </w:numPr>
      </w:pPr>
      <w:r>
        <w:t>% Unemployment</w:t>
      </w:r>
    </w:p>
    <w:p w:rsidR="00EA4D23" w:rsidRDefault="00EA4D23" w:rsidP="00EA4D23">
      <w:pPr>
        <w:pStyle w:val="ListParagraph"/>
        <w:numPr>
          <w:ilvl w:val="0"/>
          <w:numId w:val="9"/>
        </w:numPr>
      </w:pPr>
      <w:r>
        <w:t>% Uninsured Adults</w:t>
      </w:r>
    </w:p>
    <w:p w:rsidR="00EA4D23" w:rsidRDefault="00EA4D23" w:rsidP="00EA4D23">
      <w:pPr>
        <w:pStyle w:val="ListParagraph"/>
        <w:numPr>
          <w:ilvl w:val="0"/>
          <w:numId w:val="9"/>
        </w:numPr>
      </w:pPr>
      <w:r>
        <w:t>% Uninsured Children</w:t>
      </w:r>
    </w:p>
    <w:p w:rsidR="00EA4D23" w:rsidRDefault="00EA4D23" w:rsidP="00EA4D23">
      <w:pPr>
        <w:keepNext/>
      </w:pPr>
      <w:r>
        <w:rPr>
          <w:noProof/>
        </w:rPr>
        <w:drawing>
          <wp:inline distT="0" distB="0" distL="0" distR="0">
            <wp:extent cx="5943600" cy="3993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 Econ corr +P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rsidR="00EA4D23" w:rsidRDefault="00EA4D23" w:rsidP="00EA4D23">
      <w:pPr>
        <w:pStyle w:val="Caption"/>
        <w:jc w:val="center"/>
      </w:pPr>
      <w:r>
        <w:t xml:space="preserve">Figure </w:t>
      </w:r>
      <w:r w:rsidR="00AC46A2">
        <w:fldChar w:fldCharType="begin"/>
      </w:r>
      <w:r w:rsidR="00AC46A2">
        <w:instrText xml:space="preserve"> SEQ Figure \* ARABIC </w:instrText>
      </w:r>
      <w:r w:rsidR="00AC46A2">
        <w:fldChar w:fldCharType="separate"/>
      </w:r>
      <w:r w:rsidR="00C97A6B">
        <w:rPr>
          <w:noProof/>
        </w:rPr>
        <w:t>13</w:t>
      </w:r>
      <w:r w:rsidR="00AC46A2">
        <w:rPr>
          <w:noProof/>
        </w:rPr>
        <w:fldChar w:fldCharType="end"/>
      </w:r>
      <w:r>
        <w:t xml:space="preserve"> - Correlation between Economic Factors and Heart </w:t>
      </w:r>
      <w:r w:rsidR="00D11F3A">
        <w:t>Disease</w:t>
      </w:r>
      <w:r>
        <w:t xml:space="preserve"> Mortality</w:t>
      </w:r>
    </w:p>
    <w:p w:rsidR="00EA4D23" w:rsidRDefault="00EA4D23" w:rsidP="00EA4D23">
      <w:r>
        <w:t>As see</w:t>
      </w:r>
      <w:r w:rsidR="00415CC6">
        <w:t>n</w:t>
      </w:r>
      <w:r>
        <w:t xml:space="preserve"> and highlighted in Figure 8, “Percent of Civilian Labor” shows a moderate negative correlation with heart disease mortality (despite the number of outliers appearing to be greater than the other factors)</w:t>
      </w:r>
      <w:r w:rsidR="00415CC6">
        <w:t xml:space="preserve"> and is a good candidate for use in a predictive model</w:t>
      </w:r>
      <w:r>
        <w:t>.  The remaining factors do not show a strong enough correlation ( &gt;= 0.45) to be considered good candidates.</w:t>
      </w:r>
    </w:p>
    <w:p w:rsidR="00415CC6" w:rsidRDefault="00415CC6" w:rsidP="00415CC6">
      <w:pPr>
        <w:pStyle w:val="Heading4"/>
      </w:pPr>
      <w:r>
        <w:t>Demographics</w:t>
      </w:r>
    </w:p>
    <w:p w:rsidR="00415CC6" w:rsidRDefault="00415CC6" w:rsidP="00415CC6">
      <w:r>
        <w:t>The dataset contains 12 demographic features that are reported as percentages of the population. A correlation analysis of those features in a similar manner to the economic factors.</w:t>
      </w:r>
      <w:r w:rsidR="00D11F3A">
        <w:t xml:space="preserve"> (NOTE: there are 2 numeric features that are represented as rates per 1000 people, and act more like categorical features as they are distinct whole numbers; a cursory exploration of these two factor</w:t>
      </w:r>
      <w:r w:rsidR="009A3B94">
        <w:t>s</w:t>
      </w:r>
      <w:r w:rsidR="00D11F3A">
        <w:t xml:space="preserve"> was performed, but nothing of interest resulted from </w:t>
      </w:r>
      <w:r w:rsidR="001A4D79">
        <w:t>the exploration</w:t>
      </w:r>
      <w:r w:rsidR="00D11F3A">
        <w:t>)</w:t>
      </w:r>
    </w:p>
    <w:p w:rsidR="00D11F3A" w:rsidRDefault="00D11F3A" w:rsidP="00D11F3A">
      <w:pPr>
        <w:keepNext/>
      </w:pPr>
      <w:r>
        <w:rPr>
          <w:noProof/>
        </w:rPr>
        <w:lastRenderedPageBreak/>
        <w:drawing>
          <wp:inline distT="0" distB="0" distL="0" distR="0">
            <wp:extent cx="5943600" cy="398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 - Demo Corr + P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rsidR="00415CC6" w:rsidRDefault="00D11F3A" w:rsidP="00D11F3A">
      <w:pPr>
        <w:pStyle w:val="Caption"/>
        <w:jc w:val="center"/>
      </w:pPr>
      <w:r>
        <w:t xml:space="preserve">Figure </w:t>
      </w:r>
      <w:r w:rsidR="00AC46A2">
        <w:fldChar w:fldCharType="begin"/>
      </w:r>
      <w:r w:rsidR="00AC46A2">
        <w:instrText xml:space="preserve"> SEQ Figure \* ARABIC </w:instrText>
      </w:r>
      <w:r w:rsidR="00AC46A2">
        <w:fldChar w:fldCharType="separate"/>
      </w:r>
      <w:r w:rsidR="00C97A6B">
        <w:rPr>
          <w:noProof/>
        </w:rPr>
        <w:t>14</w:t>
      </w:r>
      <w:r w:rsidR="00AC46A2">
        <w:rPr>
          <w:noProof/>
        </w:rPr>
        <w:fldChar w:fldCharType="end"/>
      </w:r>
      <w:r>
        <w:t xml:space="preserve"> - Correlation between Demographic %s and Heart Disease Mortality</w:t>
      </w:r>
    </w:p>
    <w:p w:rsidR="009A3B94" w:rsidRDefault="009A3B94" w:rsidP="00D11F3A">
      <w:r>
        <w:t>Analysis of the correlation scatter plots showed that there were several candidates for model features. “Percent of non-Hispanic African Americans” was chosen as it had the strongest correlation in the subset of race/ethnicity demographics</w:t>
      </w:r>
      <w:r w:rsidR="00741922">
        <w:t>, even though its actual correlation was only moderate ( &lt; .45 )</w:t>
      </w:r>
      <w:r>
        <w:t xml:space="preserve">.  “Adults with less than a High School diploma” and “Adults with a Bachelor’s Degree or higher” were chosen for their strong positive and negative correlations, respectively.  </w:t>
      </w:r>
    </w:p>
    <w:p w:rsidR="00D11F3A" w:rsidRDefault="009A3B94" w:rsidP="00D11F3A">
      <w:r>
        <w:t>The other two demographic categories related to education level</w:t>
      </w:r>
      <w:r w:rsidR="0065707B">
        <w:t xml:space="preserve"> (“High School Diploma”, “Some College”)</w:t>
      </w:r>
      <w:r>
        <w:t xml:space="preserve"> were considered as features, but in practice they added no predictive power to the model. Two combination features, one of which added together “High School” and “Less than High School” and the other “Some College” and “Bachelor’s or higher” were considered as well.  While the combination features had higher correlations with heart disease mortality than the individual features, in practice the model seemed to suffer from overfitting when the combination features were used in place of the individual ones.</w:t>
      </w:r>
    </w:p>
    <w:p w:rsidR="00741922" w:rsidRDefault="00741922" w:rsidP="00D11F3A">
      <w:r>
        <w:t>Because of their extremely weak correlations (</w:t>
      </w:r>
      <w:r w:rsidR="00A359EE">
        <w:t>abs value</w:t>
      </w:r>
      <w:r>
        <w:t xml:space="preserve"> &lt; .15), demographic features related to gender and age were not considered for the model.</w:t>
      </w:r>
    </w:p>
    <w:p w:rsidR="00741922" w:rsidRDefault="00EF2DC5" w:rsidP="00EF2DC5">
      <w:pPr>
        <w:pStyle w:val="Heading4"/>
      </w:pPr>
      <w:r>
        <w:t>Health Statistics</w:t>
      </w:r>
    </w:p>
    <w:p w:rsidR="00EF36E7" w:rsidRDefault="0065707B" w:rsidP="00EF36E7">
      <w:r>
        <w:t>There are 10 more</w:t>
      </w:r>
      <w:r w:rsidR="00EF36E7">
        <w:t xml:space="preserve"> health-related factors present in the dataset</w:t>
      </w:r>
      <w:r>
        <w:t xml:space="preserve"> (after air pollution)</w:t>
      </w:r>
      <w:r w:rsidR="00EF36E7">
        <w:t>. All are numerical, 6 are presented as percentage of the population, two are rates per 100,000 people</w:t>
      </w:r>
      <w:r>
        <w:t>, and two are rates related to the number of people per medical professional (primary care doctor, dentist)</w:t>
      </w:r>
      <w:r w:rsidR="00E91B9A">
        <w:t xml:space="preserve">.  </w:t>
      </w:r>
      <w:r w:rsidR="00197040">
        <w:t>The 2</w:t>
      </w:r>
      <w:r w:rsidR="00E91B9A">
        <w:t xml:space="preserve"> features </w:t>
      </w:r>
      <w:r w:rsidR="00197040">
        <w:t xml:space="preserve">related to medical </w:t>
      </w:r>
      <w:r w:rsidR="00197040">
        <w:lastRenderedPageBreak/>
        <w:t xml:space="preserve">professional did not show a strong </w:t>
      </w:r>
      <w:r w:rsidR="00E91B9A">
        <w:t xml:space="preserve">correlation ( &gt; </w:t>
      </w:r>
      <w:r w:rsidR="00502671">
        <w:t>0</w:t>
      </w:r>
      <w:r w:rsidR="00E91B9A">
        <w:t>.</w:t>
      </w:r>
      <w:r w:rsidR="00502671">
        <w:t>4</w:t>
      </w:r>
      <w:r w:rsidR="00E91B9A">
        <w:t xml:space="preserve">5) to heart disease mortality rate, so </w:t>
      </w:r>
      <w:r w:rsidR="00197040">
        <w:t>they</w:t>
      </w:r>
      <w:r w:rsidR="000922E2">
        <w:t xml:space="preserve"> </w:t>
      </w:r>
      <w:r w:rsidR="00E91B9A">
        <w:t>were not considered for the predictive model.</w:t>
      </w:r>
    </w:p>
    <w:p w:rsidR="000D62D2" w:rsidRDefault="000D62D2" w:rsidP="000D62D2">
      <w:pPr>
        <w:pStyle w:val="Heading5"/>
        <w:ind w:left="720"/>
      </w:pPr>
      <w:r>
        <w:t>Health Percentages</w:t>
      </w:r>
    </w:p>
    <w:p w:rsidR="00E91B9A" w:rsidRPr="00EF36E7" w:rsidRDefault="00E91B9A" w:rsidP="000D62D2">
      <w:pPr>
        <w:ind w:left="720"/>
      </w:pPr>
      <w:r>
        <w:t>A scatter plot and correlation analysis was done for the 6 numerical features</w:t>
      </w:r>
      <w:r w:rsidR="00197040">
        <w:t xml:space="preserve"> presented as population percentages</w:t>
      </w:r>
      <w:r>
        <w:t>:</w:t>
      </w:r>
    </w:p>
    <w:p w:rsidR="00197040" w:rsidRDefault="00EA609D" w:rsidP="000D62D2">
      <w:pPr>
        <w:keepNext/>
        <w:ind w:left="720"/>
      </w:pPr>
      <w:r>
        <w:rPr>
          <w:noProof/>
        </w:rPr>
        <w:drawing>
          <wp:inline distT="0" distB="0" distL="0" distR="0">
            <wp:extent cx="5943191" cy="39751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 - Health Cor + PP.png"/>
                    <pic:cNvPicPr/>
                  </pic:nvPicPr>
                  <pic:blipFill>
                    <a:blip r:embed="rId22">
                      <a:extLst>
                        <a:ext uri="{28A0092B-C50C-407E-A947-70E740481C1C}">
                          <a14:useLocalDpi xmlns:a14="http://schemas.microsoft.com/office/drawing/2010/main" val="0"/>
                        </a:ext>
                      </a:extLst>
                    </a:blip>
                    <a:stretch>
                      <a:fillRect/>
                    </a:stretch>
                  </pic:blipFill>
                  <pic:spPr>
                    <a:xfrm>
                      <a:off x="0" y="0"/>
                      <a:ext cx="5943191" cy="3975100"/>
                    </a:xfrm>
                    <a:prstGeom prst="rect">
                      <a:avLst/>
                    </a:prstGeom>
                  </pic:spPr>
                </pic:pic>
              </a:graphicData>
            </a:graphic>
          </wp:inline>
        </w:drawing>
      </w:r>
    </w:p>
    <w:p w:rsidR="00EF2DC5" w:rsidRDefault="00197040" w:rsidP="00197040">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15</w:t>
      </w:r>
      <w:r w:rsidR="00AC46A2">
        <w:rPr>
          <w:noProof/>
        </w:rPr>
        <w:fldChar w:fldCharType="end"/>
      </w:r>
      <w:r>
        <w:t xml:space="preserve"> - Correlation </w:t>
      </w:r>
      <w:r w:rsidR="007F4733">
        <w:t>between</w:t>
      </w:r>
      <w:r>
        <w:t xml:space="preserve"> Health Percentages</w:t>
      </w:r>
      <w:r w:rsidR="007F4733">
        <w:t xml:space="preserve"> and Heart Disease Mortality</w:t>
      </w:r>
    </w:p>
    <w:p w:rsidR="00197040" w:rsidRDefault="00F62805" w:rsidP="000D62D2">
      <w:pPr>
        <w:ind w:left="720"/>
      </w:pPr>
      <w:r>
        <w:t>Percent of Physical Inactivity (shown as “pct_physical_inacticity [sic]” shows the strongest correlation with heart disease mortality among the health percentages, indicating a strong candidate for the predictive model.  The other 3 percentages highlighted in Figure 15 also showed strong correlation with heart disease mortality, but some further thought and analysis produced features with even stronger correlations.</w:t>
      </w:r>
    </w:p>
    <w:p w:rsidR="00F62805" w:rsidRPr="00197040" w:rsidRDefault="00F62805" w:rsidP="00F62805">
      <w:pPr>
        <w:pStyle w:val="Heading5"/>
        <w:ind w:left="720"/>
      </w:pPr>
      <w:r>
        <w:t>Combining Health Percentages</w:t>
      </w:r>
    </w:p>
    <w:p w:rsidR="00E91B9A" w:rsidRDefault="00F62805" w:rsidP="00F62805">
      <w:pPr>
        <w:ind w:left="720"/>
      </w:pPr>
      <w:r>
        <w:t>Thinking about the 3 health percentages</w:t>
      </w:r>
      <w:r w:rsidR="00BE439D">
        <w:t>:</w:t>
      </w:r>
    </w:p>
    <w:p w:rsidR="00BE439D" w:rsidRDefault="00BE439D" w:rsidP="00BE439D">
      <w:pPr>
        <w:pStyle w:val="ListParagraph"/>
        <w:numPr>
          <w:ilvl w:val="0"/>
          <w:numId w:val="10"/>
        </w:numPr>
      </w:pPr>
      <w:r>
        <w:t>Percent of adult obesity</w:t>
      </w:r>
    </w:p>
    <w:p w:rsidR="00BE439D" w:rsidRDefault="00BE439D" w:rsidP="00BE439D">
      <w:pPr>
        <w:pStyle w:val="ListParagraph"/>
        <w:numPr>
          <w:ilvl w:val="0"/>
          <w:numId w:val="10"/>
        </w:numPr>
      </w:pPr>
      <w:r>
        <w:t>Percent of adult smoking</w:t>
      </w:r>
    </w:p>
    <w:p w:rsidR="00BE439D" w:rsidRDefault="00BE439D" w:rsidP="00BE439D">
      <w:pPr>
        <w:pStyle w:val="ListParagraph"/>
        <w:numPr>
          <w:ilvl w:val="0"/>
          <w:numId w:val="10"/>
        </w:numPr>
      </w:pPr>
      <w:r>
        <w:t>Percent of diabetes</w:t>
      </w:r>
    </w:p>
    <w:p w:rsidR="00BE439D" w:rsidRDefault="00BE439D" w:rsidP="00BE439D">
      <w:pPr>
        <w:ind w:left="720"/>
      </w:pPr>
      <w:r>
        <w:lastRenderedPageBreak/>
        <w:t xml:space="preserve">we can say that each of the percentages is the same as the </w:t>
      </w:r>
      <w:r w:rsidRPr="00BE439D">
        <w:rPr>
          <w:i/>
        </w:rPr>
        <w:t>probability</w:t>
      </w:r>
      <w:r>
        <w:t xml:space="preserve"> of a randomly chosen individual in that county having the specific condition. Let us further assume that each of the events (being obese, smoking, having diabetes) are independent of each other. According to probability theory, the probability of two independent events occurring is simply the product of the two individual probabilities. Therefore</w:t>
      </w:r>
    </w:p>
    <w:p w:rsidR="000D62D2" w:rsidRDefault="000D62D2" w:rsidP="000D62D2">
      <w:pPr>
        <w:pStyle w:val="ListParagraph"/>
        <w:numPr>
          <w:ilvl w:val="0"/>
          <w:numId w:val="11"/>
        </w:numPr>
      </w:pPr>
      <w:r>
        <w:t>P(diabetes &amp; ) = P(diabetes) * P(obese)</w:t>
      </w:r>
    </w:p>
    <w:p w:rsidR="00BE439D" w:rsidRDefault="00BE439D" w:rsidP="00BE439D">
      <w:pPr>
        <w:pStyle w:val="ListParagraph"/>
        <w:numPr>
          <w:ilvl w:val="0"/>
          <w:numId w:val="11"/>
        </w:numPr>
      </w:pPr>
      <w:r>
        <w:t>P(diabetes &amp; smoking) = P(diabetes) * P(smoking)</w:t>
      </w:r>
    </w:p>
    <w:p w:rsidR="000D62D2" w:rsidRDefault="000D62D2" w:rsidP="000D62D2">
      <w:pPr>
        <w:pStyle w:val="ListParagraph"/>
        <w:numPr>
          <w:ilvl w:val="0"/>
          <w:numId w:val="11"/>
        </w:numPr>
      </w:pPr>
      <w:r>
        <w:t>P(obese &amp; smoking) = P (obese) * P(smoking)</w:t>
      </w:r>
    </w:p>
    <w:p w:rsidR="00BE439D" w:rsidRDefault="00BE439D" w:rsidP="00BE439D">
      <w:pPr>
        <w:pStyle w:val="ListParagraph"/>
        <w:numPr>
          <w:ilvl w:val="0"/>
          <w:numId w:val="11"/>
        </w:numPr>
      </w:pPr>
      <w:r>
        <w:t>P(obese &amp; smoking &amp; diabetes) = P(obese) * P(smoking) * P(diabetes)</w:t>
      </w:r>
    </w:p>
    <w:p w:rsidR="000D62D2" w:rsidRDefault="000D62D2" w:rsidP="000D62D2">
      <w:pPr>
        <w:ind w:left="720"/>
      </w:pPr>
      <w:r>
        <w:t>By calculating these combined probabilities, we find features that have even stronger correlation that each individual feature</w:t>
      </w:r>
    </w:p>
    <w:p w:rsidR="000D62D2" w:rsidRDefault="000D62D2" w:rsidP="000D62D2">
      <w:pPr>
        <w:keepNext/>
        <w:ind w:left="720"/>
      </w:pPr>
      <w:r>
        <w:rPr>
          <w:noProof/>
        </w:rPr>
        <w:drawing>
          <wp:inline distT="0" distB="0" distL="0" distR="0">
            <wp:extent cx="5943600" cy="3967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lth combo corr + P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0D62D2" w:rsidRDefault="000D62D2" w:rsidP="000D62D2">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16</w:t>
      </w:r>
      <w:r w:rsidR="00AC46A2">
        <w:rPr>
          <w:noProof/>
        </w:rPr>
        <w:fldChar w:fldCharType="end"/>
      </w:r>
      <w:r>
        <w:t xml:space="preserve"> - Correlations </w:t>
      </w:r>
      <w:r w:rsidR="007F4733">
        <w:t>between</w:t>
      </w:r>
      <w:r>
        <w:t xml:space="preserve"> Combined Health Percentages</w:t>
      </w:r>
      <w:r w:rsidR="007F4733">
        <w:t xml:space="preserve"> and Heart Disease Mortality</w:t>
      </w:r>
    </w:p>
    <w:p w:rsidR="000D62D2" w:rsidRDefault="000D62D2" w:rsidP="000D62D2">
      <w:pPr>
        <w:ind w:left="720"/>
      </w:pPr>
      <w:r>
        <w:t>The 3 combinations highlighted in Figure 16 have the strongest correlations ( &gt; 0.64) and are good candidates for the predictive model. In practice, the 4</w:t>
      </w:r>
      <w:r w:rsidRPr="000D62D2">
        <w:rPr>
          <w:vertAlign w:val="superscript"/>
        </w:rPr>
        <w:t>th</w:t>
      </w:r>
      <w:r>
        <w:t xml:space="preserve"> combination did not add any predictive power to the model, so it was omitted.</w:t>
      </w:r>
    </w:p>
    <w:p w:rsidR="000D62D2" w:rsidRDefault="000D62D2" w:rsidP="000D62D2">
      <w:pPr>
        <w:pStyle w:val="Heading5"/>
        <w:ind w:left="720"/>
      </w:pPr>
      <w:r>
        <w:t>Death Rates</w:t>
      </w:r>
    </w:p>
    <w:p w:rsidR="000D62D2" w:rsidRDefault="007F4733" w:rsidP="000D62D2">
      <w:pPr>
        <w:ind w:left="720"/>
      </w:pPr>
      <w:r>
        <w:t>Homicide rate and Motor Vehicle Death rate (both per 100,000 individuals) each showed moderate correlation with heart disease mortality (</w:t>
      </w:r>
      <w:r w:rsidR="00C97A6B">
        <w:t>0.441 and 0.460, respectively). W</w:t>
      </w:r>
      <w:r>
        <w:t>hen each factor was converted to a log</w:t>
      </w:r>
      <w:r w:rsidRPr="007F4733">
        <w:rPr>
          <w:vertAlign w:val="subscript"/>
        </w:rPr>
        <w:t>10</w:t>
      </w:r>
      <w:r>
        <w:t xml:space="preserve"> scale, the correlation got stronger (.501, .504, respectively).</w:t>
      </w:r>
      <w:r w:rsidR="00C97A6B">
        <w:t xml:space="preserve"> </w:t>
      </w:r>
    </w:p>
    <w:p w:rsidR="00C97A6B" w:rsidRDefault="00C97A6B" w:rsidP="00C97A6B">
      <w:pPr>
        <w:keepNext/>
        <w:ind w:left="720"/>
      </w:pPr>
      <w:r>
        <w:rPr>
          <w:noProof/>
        </w:rPr>
        <w:lastRenderedPageBreak/>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ath cor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97A6B" w:rsidRDefault="00C97A6B" w:rsidP="00C97A6B">
      <w:pPr>
        <w:pStyle w:val="Caption"/>
        <w:ind w:left="720"/>
        <w:jc w:val="center"/>
        <w:rPr>
          <w:noProof/>
        </w:rPr>
      </w:pPr>
      <w:r>
        <w:t xml:space="preserve">Figure </w:t>
      </w:r>
      <w:r w:rsidR="00AC46A2">
        <w:fldChar w:fldCharType="begin"/>
      </w:r>
      <w:r w:rsidR="00AC46A2">
        <w:instrText xml:space="preserve"> SEQ Figure \* ARABIC </w:instrText>
      </w:r>
      <w:r w:rsidR="00AC46A2">
        <w:fldChar w:fldCharType="separate"/>
      </w:r>
      <w:r>
        <w:rPr>
          <w:noProof/>
        </w:rPr>
        <w:t>17</w:t>
      </w:r>
      <w:r w:rsidR="00AC46A2">
        <w:rPr>
          <w:noProof/>
        </w:rPr>
        <w:fldChar w:fldCharType="end"/>
      </w:r>
      <w:r>
        <w:t xml:space="preserve"> - Correlation between Death Rates</w:t>
      </w:r>
      <w:r>
        <w:rPr>
          <w:noProof/>
        </w:rPr>
        <w:t xml:space="preserve"> and Heart Disease Mortality</w:t>
      </w:r>
    </w:p>
    <w:p w:rsidR="00C97A6B" w:rsidRPr="00C97A6B" w:rsidRDefault="00C97A6B" w:rsidP="00C97A6B"/>
    <w:p w:rsidR="007F4733" w:rsidRDefault="007F4733" w:rsidP="007F4733">
      <w:pPr>
        <w:keepNext/>
        <w:ind w:left="720"/>
      </w:pPr>
      <w:r>
        <w:rPr>
          <w:noProof/>
        </w:rPr>
        <w:drawing>
          <wp:inline distT="0" distB="0" distL="0" distR="0">
            <wp:extent cx="5943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 log death.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7F4733" w:rsidRDefault="007F4733" w:rsidP="007F4733">
      <w:pPr>
        <w:pStyle w:val="Caption"/>
        <w:ind w:left="720"/>
        <w:jc w:val="center"/>
      </w:pPr>
      <w:r>
        <w:t xml:space="preserve">Figure </w:t>
      </w:r>
      <w:r w:rsidR="00AC46A2">
        <w:fldChar w:fldCharType="begin"/>
      </w:r>
      <w:r w:rsidR="00AC46A2">
        <w:instrText xml:space="preserve"> SEQ Figure \* ARABIC </w:instrText>
      </w:r>
      <w:r w:rsidR="00AC46A2">
        <w:fldChar w:fldCharType="separate"/>
      </w:r>
      <w:r w:rsidR="00C97A6B">
        <w:rPr>
          <w:noProof/>
        </w:rPr>
        <w:t>18</w:t>
      </w:r>
      <w:r w:rsidR="00AC46A2">
        <w:rPr>
          <w:noProof/>
        </w:rPr>
        <w:fldChar w:fldCharType="end"/>
      </w:r>
      <w:r w:rsidR="001B2183">
        <w:t xml:space="preserve"> - Correlation between l</w:t>
      </w:r>
      <w:r>
        <w:t>og</w:t>
      </w:r>
      <w:r w:rsidRPr="007F4733">
        <w:rPr>
          <w:vertAlign w:val="subscript"/>
        </w:rPr>
        <w:t>10</w:t>
      </w:r>
      <w:r>
        <w:t>(Death Rates) and Heart Disease Mortality</w:t>
      </w:r>
    </w:p>
    <w:p w:rsidR="007F4733" w:rsidRDefault="00C97A6B" w:rsidP="00C97A6B">
      <w:pPr>
        <w:ind w:left="720"/>
      </w:pPr>
      <w:r>
        <w:lastRenderedPageBreak/>
        <w:t>Each version was used in separate iterations of the predictive model, and surprisingly, the “base” version (prior to log</w:t>
      </w:r>
      <w:r w:rsidRPr="00C97A6B">
        <w:rPr>
          <w:vertAlign w:val="subscript"/>
        </w:rPr>
        <w:t>10</w:t>
      </w:r>
      <w:r>
        <w:t xml:space="preserve"> conversion) showed marginally better predictive power</w:t>
      </w:r>
      <w:r w:rsidR="007F4733">
        <w:t>.</w:t>
      </w:r>
    </w:p>
    <w:p w:rsidR="007F4733" w:rsidRDefault="007F4733" w:rsidP="007F4733">
      <w:pPr>
        <w:pStyle w:val="Heading2"/>
      </w:pPr>
      <w:r>
        <w:t>Predictive Model</w:t>
      </w:r>
    </w:p>
    <w:p w:rsidR="007F4733" w:rsidRDefault="001B2183" w:rsidP="007F4733">
      <w:r>
        <w:t>In order to predict heart disease mortality rate, we need a predictive model that provides a numerical answer, implying that the model will be a regression model.  There are many metrics that can show the quality of a regression models</w:t>
      </w:r>
      <w:r w:rsidR="006C4453">
        <w:t>:</w:t>
      </w:r>
    </w:p>
    <w:p w:rsidR="006C4453" w:rsidRDefault="006C4453" w:rsidP="006C4453">
      <w:pPr>
        <w:pStyle w:val="ListParagraph"/>
        <w:numPr>
          <w:ilvl w:val="0"/>
          <w:numId w:val="12"/>
        </w:numPr>
      </w:pPr>
      <w:r>
        <w:t>Least Square Error (</w:t>
      </w:r>
      <w:r w:rsidR="00092F75">
        <w:t xml:space="preserve">LSE, </w:t>
      </w:r>
      <w:r>
        <w:t>aka Mean Square Error, aka Sum of Squares Error</w:t>
      </w:r>
      <w:r w:rsidR="00092F75">
        <w:t xml:space="preserve"> (SSE))</w:t>
      </w:r>
    </w:p>
    <w:p w:rsidR="00092F75" w:rsidRDefault="00092F75" w:rsidP="00092F75">
      <w:pPr>
        <w:pStyle w:val="ListParagraph"/>
        <w:numPr>
          <w:ilvl w:val="0"/>
          <w:numId w:val="12"/>
        </w:numPr>
      </w:pPr>
      <w:r>
        <w:t>Root Mean Square Error (square root of LSE)</w:t>
      </w:r>
    </w:p>
    <w:p w:rsidR="006C4453" w:rsidRDefault="006C4453" w:rsidP="006C4453">
      <w:pPr>
        <w:pStyle w:val="ListParagraph"/>
        <w:numPr>
          <w:ilvl w:val="0"/>
          <w:numId w:val="12"/>
        </w:numPr>
      </w:pPr>
      <w:r>
        <w:t>Total Variation (aka Total Sum of Squares - SST)</w:t>
      </w:r>
    </w:p>
    <w:p w:rsidR="006C4453" w:rsidRDefault="006C4453" w:rsidP="006C4453">
      <w:pPr>
        <w:pStyle w:val="ListParagraph"/>
        <w:numPr>
          <w:ilvl w:val="0"/>
          <w:numId w:val="12"/>
        </w:numPr>
      </w:pPr>
      <w:r>
        <w:t>Regression Sum of Squares (SSR)</w:t>
      </w:r>
    </w:p>
    <w:p w:rsidR="006C4453" w:rsidRDefault="006C4453" w:rsidP="006C4453">
      <w:pPr>
        <w:pStyle w:val="ListParagraph"/>
        <w:numPr>
          <w:ilvl w:val="0"/>
          <w:numId w:val="12"/>
        </w:numPr>
      </w:pPr>
      <w:r>
        <w:t>R</w:t>
      </w:r>
      <w:r w:rsidRPr="006C4453">
        <w:rPr>
          <w:vertAlign w:val="superscript"/>
        </w:rPr>
        <w:t>2</w:t>
      </w:r>
    </w:p>
    <w:p w:rsidR="006C4453" w:rsidRDefault="006C4453" w:rsidP="006C4453">
      <w:r>
        <w:t xml:space="preserve">For this model we will be using the Root Mean Square Error (RMSE) statistic to determine the model’s quality.  RMSE is defined as </w:t>
      </w:r>
    </w:p>
    <w:p w:rsidR="006C4453" w:rsidRDefault="006C4453" w:rsidP="006C4453">
      <w:pPr>
        <w:jc w:val="center"/>
        <w:rPr>
          <w:sz w:val="28"/>
        </w:rPr>
      </w:pPr>
      <w:r w:rsidRPr="006C4453">
        <w:rPr>
          <w:sz w:val="28"/>
        </w:rPr>
        <w:t>RM</w:t>
      </w:r>
      <w:r w:rsidR="00092F75">
        <w:rPr>
          <w:sz w:val="28"/>
        </w:rPr>
        <w:t>S</w:t>
      </w:r>
      <w:r w:rsidRPr="006C4453">
        <w:rPr>
          <w:sz w:val="28"/>
        </w:rPr>
        <w:t xml:space="preserve">E = </w:t>
      </w:r>
      <m:oMath>
        <m:rad>
          <m:radPr>
            <m:degHide m:val="1"/>
            <m:ctrlPr>
              <w:rPr>
                <w:rFonts w:ascii="Cambria Math" w:hAnsi="Cambria Math"/>
                <w:sz w:val="28"/>
              </w:rPr>
            </m:ctrlPr>
          </m:radPr>
          <m:deg/>
          <m:e>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N</m:t>
                </m:r>
              </m:den>
            </m:f>
            <m:nary>
              <m:naryPr>
                <m:chr m:val="∑"/>
                <m:limLoc m:val="undOvr"/>
                <m:grow m:val="1"/>
                <m:ctrlPr>
                  <w:rPr>
                    <w:rFonts w:ascii="Cambria Math" w:hAnsi="Cambria Math"/>
                    <w:sz w:val="28"/>
                  </w:rPr>
                </m:ctrlPr>
              </m:naryPr>
              <m:sub>
                <m:r>
                  <m:rPr>
                    <m:sty m:val="p"/>
                  </m:rPr>
                  <w:rPr>
                    <w:rFonts w:ascii="Cambria Math" w:hAnsi="Cambria Math"/>
                    <w:sz w:val="28"/>
                  </w:rPr>
                  <m:t>i=1</m:t>
                </m:r>
              </m:sub>
              <m:sup>
                <m:r>
                  <m:rPr>
                    <m:sty m:val="p"/>
                  </m:rPr>
                  <w:rPr>
                    <w:rFonts w:ascii="Cambria Math" w:hAnsi="Cambria Math"/>
                    <w:sz w:val="28"/>
                  </w:rPr>
                  <m:t>N</m:t>
                </m:r>
              </m:sup>
              <m:e>
                <m:sSup>
                  <m:sSupPr>
                    <m:ctrlPr>
                      <w:rPr>
                        <w:rFonts w:ascii="Cambria Math" w:hAnsi="Cambria Math"/>
                        <w:sz w:val="28"/>
                      </w:rPr>
                    </m:ctrlPr>
                  </m:sSupPr>
                  <m:e>
                    <m:d>
                      <m:dPr>
                        <m:ctrlPr>
                          <w:rPr>
                            <w:rFonts w:ascii="Cambria Math" w:hAnsi="Cambria Math"/>
                            <w:sz w:val="28"/>
                          </w:rPr>
                        </m:ctrlPr>
                      </m:dPr>
                      <m:e>
                        <m:sSub>
                          <m:sSubPr>
                            <m:ctrlPr>
                              <w:rPr>
                                <w:rFonts w:ascii="Cambria Math" w:hAnsi="Cambria Math"/>
                                <w:sz w:val="28"/>
                              </w:rPr>
                            </m:ctrlPr>
                          </m:sSubPr>
                          <m:e>
                            <m:acc>
                              <m:accPr>
                                <m:ctrlPr>
                                  <w:rPr>
                                    <w:rFonts w:ascii="Cambria Math" w:hAnsi="Cambria Math"/>
                                    <w:sz w:val="28"/>
                                  </w:rPr>
                                </m:ctrlPr>
                              </m:accPr>
                              <m:e>
                                <m:r>
                                  <m:rPr>
                                    <m:sty m:val="p"/>
                                  </m:rPr>
                                  <w:rPr>
                                    <w:rFonts w:ascii="Cambria Math" w:hAnsi="Cambria Math"/>
                                    <w:sz w:val="28"/>
                                  </w:rPr>
                                  <m:t>y</m:t>
                                </m:r>
                              </m:e>
                            </m:acc>
                          </m:e>
                          <m:sub>
                            <m:r>
                              <m:rPr>
                                <m:sty m:val="p"/>
                              </m:rPr>
                              <w:rPr>
                                <w:rFonts w:ascii="Cambria Math" w:hAnsi="Cambria Math"/>
                                <w:sz w:val="28"/>
                              </w:rPr>
                              <m:t>i</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e>
                          <m:sub>
                            <m:r>
                              <m:rPr>
                                <m:sty m:val="p"/>
                              </m:rPr>
                              <w:rPr>
                                <w:rFonts w:ascii="Cambria Math" w:hAnsi="Cambria Math"/>
                                <w:sz w:val="28"/>
                              </w:rPr>
                              <m:t>i</m:t>
                            </m:r>
                          </m:sub>
                        </m:sSub>
                      </m:e>
                    </m:d>
                  </m:e>
                  <m:sup>
                    <m:r>
                      <m:rPr>
                        <m:sty m:val="p"/>
                      </m:rPr>
                      <w:rPr>
                        <w:rFonts w:ascii="Cambria Math" w:hAnsi="Cambria Math"/>
                        <w:sz w:val="28"/>
                      </w:rPr>
                      <m:t>2</m:t>
                    </m:r>
                  </m:sup>
                </m:sSup>
              </m:e>
            </m:nary>
          </m:e>
        </m:rad>
      </m:oMath>
    </w:p>
    <w:p w:rsidR="006C4453" w:rsidRDefault="006C4453" w:rsidP="006C4453">
      <w:pPr>
        <w:rPr>
          <w:rFonts w:cstheme="minorHAnsi"/>
        </w:rPr>
      </w:pPr>
      <w:r>
        <w:t xml:space="preserve">Where N is the number of data records in the sample, </w:t>
      </w:r>
      <w:r>
        <w:rPr>
          <w:rFonts w:cstheme="minorHAnsi"/>
        </w:rPr>
        <w:t>ŷ</w:t>
      </w:r>
      <w:r w:rsidRPr="006C4453">
        <w:rPr>
          <w:rFonts w:cstheme="minorHAnsi"/>
          <w:vertAlign w:val="subscript"/>
        </w:rPr>
        <w:t>i</w:t>
      </w:r>
      <w:r>
        <w:rPr>
          <w:rFonts w:cstheme="minorHAnsi"/>
        </w:rPr>
        <w:t xml:space="preserve"> is the predicted value of the </w:t>
      </w:r>
      <w:r w:rsidRPr="006C4453">
        <w:rPr>
          <w:rFonts w:cstheme="minorHAnsi"/>
          <w:i/>
        </w:rPr>
        <w:t>i</w:t>
      </w:r>
      <w:r>
        <w:rPr>
          <w:rFonts w:cstheme="minorHAnsi"/>
        </w:rPr>
        <w:t>th member of the sample, and y</w:t>
      </w:r>
      <w:r w:rsidRPr="006C4453">
        <w:rPr>
          <w:rFonts w:cstheme="minorHAnsi"/>
          <w:vertAlign w:val="subscript"/>
        </w:rPr>
        <w:t>i</w:t>
      </w:r>
      <w:r>
        <w:rPr>
          <w:rFonts w:cstheme="minorHAnsi"/>
        </w:rPr>
        <w:t xml:space="preserve"> is the actual value of the </w:t>
      </w:r>
      <w:r w:rsidRPr="006C4453">
        <w:rPr>
          <w:rFonts w:cstheme="minorHAnsi"/>
          <w:i/>
        </w:rPr>
        <w:t>i</w:t>
      </w:r>
      <w:r>
        <w:rPr>
          <w:rFonts w:cstheme="minorHAnsi"/>
        </w:rPr>
        <w:t>th member of the sample.  By minimizing this value, we are essentially minimizing the absolute error of the model.</w:t>
      </w:r>
    </w:p>
    <w:p w:rsidR="00092F75" w:rsidRDefault="00092F75" w:rsidP="006C4453">
      <w:pPr>
        <w:rPr>
          <w:rFonts w:cstheme="minorHAnsi"/>
        </w:rPr>
      </w:pPr>
      <w:r>
        <w:rPr>
          <w:rFonts w:cstheme="minorHAnsi"/>
        </w:rPr>
        <w:t>Three types of regression models were tested</w:t>
      </w:r>
    </w:p>
    <w:p w:rsidR="00092F75" w:rsidRDefault="00092F75" w:rsidP="00092F75">
      <w:pPr>
        <w:pStyle w:val="ListParagraph"/>
        <w:numPr>
          <w:ilvl w:val="0"/>
          <w:numId w:val="13"/>
        </w:numPr>
      </w:pPr>
      <w:r>
        <w:t>Linear Regression</w:t>
      </w:r>
    </w:p>
    <w:p w:rsidR="00092F75" w:rsidRDefault="00092F75" w:rsidP="00092F75">
      <w:pPr>
        <w:pStyle w:val="ListParagraph"/>
        <w:numPr>
          <w:ilvl w:val="0"/>
          <w:numId w:val="13"/>
        </w:numPr>
      </w:pPr>
      <w:r>
        <w:t>Boosted Decision Tree</w:t>
      </w:r>
    </w:p>
    <w:p w:rsidR="00092F75" w:rsidRDefault="00092F75" w:rsidP="00092F75">
      <w:pPr>
        <w:pStyle w:val="ListParagraph"/>
        <w:numPr>
          <w:ilvl w:val="0"/>
          <w:numId w:val="13"/>
        </w:numPr>
      </w:pPr>
      <w:r>
        <w:t>Decision Forest Regression</w:t>
      </w:r>
    </w:p>
    <w:p w:rsidR="00092F75" w:rsidRDefault="00092F75" w:rsidP="00092F75">
      <w:r>
        <w:t xml:space="preserve">Each of the models was given the same set of </w:t>
      </w:r>
      <w:r w:rsidR="001D5B04">
        <w:t>features</w:t>
      </w:r>
      <w:r>
        <w:t xml:space="preserve">, and were trained using 50% of the model data and scored with the remaining 50%. Comparison between the 3 different models showed that the Decision Forest Regression model </w:t>
      </w:r>
      <w:r w:rsidR="001F51C4">
        <w:t>(RM</w:t>
      </w:r>
      <w:r w:rsidR="00E71DB2">
        <w:t>S</w:t>
      </w:r>
      <w:r w:rsidR="001F51C4">
        <w:t xml:space="preserve">E </w:t>
      </w:r>
      <w:r w:rsidR="001F51C4">
        <w:rPr>
          <w:rFonts w:cstheme="minorHAnsi"/>
        </w:rPr>
        <w:t>≈</w:t>
      </w:r>
      <w:r w:rsidR="001F51C4">
        <w:t xml:space="preserve"> 32) </w:t>
      </w:r>
      <w:r>
        <w:t xml:space="preserve">performed the </w:t>
      </w:r>
      <w:r w:rsidR="001F51C4">
        <w:t xml:space="preserve">better than Linear Regression (RMSE </w:t>
      </w:r>
      <w:r w:rsidR="001F51C4">
        <w:rPr>
          <w:rFonts w:cstheme="minorHAnsi"/>
        </w:rPr>
        <w:t>≈</w:t>
      </w:r>
      <w:r w:rsidR="001F51C4">
        <w:t xml:space="preserve"> 36) and Boosted Tree (RMSE </w:t>
      </w:r>
      <w:r w:rsidR="001F51C4">
        <w:rPr>
          <w:rFonts w:cstheme="minorHAnsi"/>
        </w:rPr>
        <w:t>≈</w:t>
      </w:r>
      <w:r w:rsidR="001F51C4">
        <w:t xml:space="preserve"> 34)</w:t>
      </w:r>
      <w:r>
        <w:t>.</w:t>
      </w:r>
    </w:p>
    <w:p w:rsidR="009601B9" w:rsidRDefault="009601B9" w:rsidP="00092F75">
      <w:r>
        <w:t>Once the Decision Forest was chosen</w:t>
      </w:r>
      <w:r w:rsidR="001F51C4">
        <w:t>, further data steps were undertaken to further refine the predictive power of the model.</w:t>
      </w:r>
    </w:p>
    <w:p w:rsidR="00A3616E" w:rsidRPr="006C4453" w:rsidRDefault="00A3616E" w:rsidP="00A3616E">
      <w:pPr>
        <w:pStyle w:val="ListParagraph"/>
        <w:numPr>
          <w:ilvl w:val="0"/>
          <w:numId w:val="14"/>
        </w:numPr>
      </w:pPr>
      <w:r>
        <w:t>Filling in missing data values by substituting with the mean value of the feature</w:t>
      </w:r>
    </w:p>
    <w:p w:rsidR="00A3616E" w:rsidRDefault="00A3616E" w:rsidP="00A3616E">
      <w:pPr>
        <w:pStyle w:val="ListParagraph"/>
        <w:numPr>
          <w:ilvl w:val="0"/>
          <w:numId w:val="14"/>
        </w:numPr>
      </w:pPr>
      <w:r>
        <w:t xml:space="preserve">Normalizing the data using the “Z-Score” method:  </w:t>
      </w:r>
      <m:oMath>
        <m:r>
          <w:rPr>
            <w:rFonts w:ascii="Cambria Math" w:hAnsi="Cambria Math"/>
            <w:sz w:val="24"/>
          </w:rPr>
          <m:t>Z=</m:t>
        </m:r>
        <m:f>
          <m:fPr>
            <m:ctrlPr>
              <w:rPr>
                <w:rFonts w:ascii="Cambria Math" w:hAnsi="Cambria Math"/>
                <w:i/>
                <w:sz w:val="24"/>
              </w:rPr>
            </m:ctrlPr>
          </m:fPr>
          <m:num>
            <m:r>
              <w:rPr>
                <w:rFonts w:ascii="Cambria Math" w:hAnsi="Cambria Math"/>
                <w:sz w:val="24"/>
              </w:rPr>
              <m:t>x-mean(x)</m:t>
            </m:r>
          </m:num>
          <m:den>
            <m:r>
              <w:rPr>
                <w:rFonts w:ascii="Cambria Math" w:hAnsi="Cambria Math"/>
                <w:sz w:val="24"/>
              </w:rPr>
              <m:t>stdev(x)</m:t>
            </m:r>
          </m:den>
        </m:f>
      </m:oMath>
      <w:r w:rsidR="001D5B04">
        <w:rPr>
          <w:sz w:val="24"/>
        </w:rPr>
        <w:t xml:space="preserve"> </w:t>
      </w:r>
      <w:r w:rsidR="001D5B04">
        <w:t>where mean(x) and stdev(x) are the mean and standard deviation of the feature in question</w:t>
      </w:r>
    </w:p>
    <w:p w:rsidR="00E71DB2" w:rsidRPr="00A3616E" w:rsidRDefault="006607A8" w:rsidP="00E71DB2">
      <w:r>
        <w:t>After the RMSE was minimized against the training set of data, scoring of the model was performed against a separate test set of data, comprising an additional 3080 rows.</w:t>
      </w:r>
      <w:r w:rsidR="00D105FA">
        <w:t xml:space="preserve">  </w:t>
      </w:r>
      <w:r w:rsidR="00E71DB2">
        <w:t xml:space="preserve">Various permutations of feature selections were performed, with the best model predicting values for the testing set (with unknown values) with a RMSE of </w:t>
      </w:r>
      <w:r w:rsidR="00E71DB2" w:rsidRPr="007B05DB">
        <w:rPr>
          <w:b/>
        </w:rPr>
        <w:t>36.</w:t>
      </w:r>
      <w:r w:rsidR="00C60181">
        <w:rPr>
          <w:b/>
        </w:rPr>
        <w:t>6206</w:t>
      </w:r>
      <w:r w:rsidR="00E71DB2">
        <w:t xml:space="preserve"> as calculated by DataScienceCapstone.org</w:t>
      </w:r>
    </w:p>
    <w:p w:rsidR="00E71DB2" w:rsidRDefault="00E71DB2" w:rsidP="00E71DB2">
      <w:pPr>
        <w:pStyle w:val="Heading2"/>
      </w:pPr>
      <w:r>
        <w:lastRenderedPageBreak/>
        <w:t>Conclusion</w:t>
      </w:r>
    </w:p>
    <w:p w:rsidR="001D5B04" w:rsidRDefault="0080571A" w:rsidP="001D5B04">
      <w:r>
        <w:t>Predicting h</w:t>
      </w:r>
      <w:r w:rsidR="00E71DB2">
        <w:t xml:space="preserve">eart disease mortality rate </w:t>
      </w:r>
      <w:r>
        <w:t xml:space="preserve">is a challenging endeavor, as there are many “environmental” (i.e., not necessarily specific to an individual such as genetics) factors that can affect the outcome. Within the given data set, we see that heart disease mortality can be predicted </w:t>
      </w:r>
      <w:r w:rsidR="00D94C6E">
        <w:t xml:space="preserve">reasonably well </w:t>
      </w:r>
      <w:r>
        <w:t>based on the following features</w:t>
      </w:r>
      <w:r w:rsidR="007C1CFC">
        <w:t>:</w:t>
      </w:r>
    </w:p>
    <w:p w:rsidR="00D105FA" w:rsidRDefault="00D105FA" w:rsidP="00D105FA">
      <w:pPr>
        <w:pStyle w:val="ListParagraph"/>
        <w:numPr>
          <w:ilvl w:val="0"/>
          <w:numId w:val="15"/>
        </w:numPr>
      </w:pPr>
      <w:r>
        <w:t>Economic Typology (categorical)</w:t>
      </w:r>
    </w:p>
    <w:p w:rsidR="00D105FA" w:rsidRDefault="00D105FA" w:rsidP="00D105FA">
      <w:pPr>
        <w:pStyle w:val="ListParagraph"/>
        <w:numPr>
          <w:ilvl w:val="0"/>
          <w:numId w:val="15"/>
        </w:numPr>
      </w:pPr>
      <w:r>
        <w:t>Population (categorical)</w:t>
      </w:r>
    </w:p>
    <w:p w:rsidR="00D105FA" w:rsidRDefault="00D105FA" w:rsidP="00D105FA">
      <w:pPr>
        <w:pStyle w:val="ListParagraph"/>
        <w:numPr>
          <w:ilvl w:val="0"/>
          <w:numId w:val="15"/>
        </w:numPr>
      </w:pPr>
      <w:r>
        <w:t>Metropolitan Type (categorical)</w:t>
      </w:r>
    </w:p>
    <w:p w:rsidR="00D105FA" w:rsidRDefault="00D105FA" w:rsidP="00D105FA">
      <w:pPr>
        <w:pStyle w:val="ListParagraph"/>
        <w:numPr>
          <w:ilvl w:val="0"/>
          <w:numId w:val="15"/>
        </w:numPr>
      </w:pPr>
      <w:r>
        <w:t>Air Pollution</w:t>
      </w:r>
      <w:r w:rsidR="007C1CFC">
        <w:t xml:space="preserve"> concentration</w:t>
      </w:r>
      <w:r>
        <w:t xml:space="preserve"> (categorical)</w:t>
      </w:r>
    </w:p>
    <w:p w:rsidR="00D105FA" w:rsidRDefault="00D105FA" w:rsidP="00D105FA">
      <w:pPr>
        <w:pStyle w:val="ListParagraph"/>
        <w:numPr>
          <w:ilvl w:val="0"/>
          <w:numId w:val="15"/>
        </w:numPr>
      </w:pPr>
      <w:r>
        <w:t>Percent of Civilian Labor (numeric)</w:t>
      </w:r>
    </w:p>
    <w:p w:rsidR="00D105FA" w:rsidRDefault="00D105FA" w:rsidP="00D105FA">
      <w:pPr>
        <w:pStyle w:val="ListParagraph"/>
        <w:numPr>
          <w:ilvl w:val="0"/>
          <w:numId w:val="15"/>
        </w:numPr>
      </w:pPr>
      <w:r>
        <w:t>Percent non-Hispanic African American (numeric)</w:t>
      </w:r>
    </w:p>
    <w:p w:rsidR="00D105FA" w:rsidRDefault="00D105FA" w:rsidP="00D105FA">
      <w:pPr>
        <w:pStyle w:val="ListParagraph"/>
        <w:numPr>
          <w:ilvl w:val="0"/>
          <w:numId w:val="15"/>
        </w:numPr>
      </w:pPr>
      <w:r>
        <w:t>Percent of Adult Physical Inactivity (numeric)</w:t>
      </w:r>
    </w:p>
    <w:p w:rsidR="00D105FA" w:rsidRDefault="00D105FA" w:rsidP="00D105FA">
      <w:pPr>
        <w:pStyle w:val="ListParagraph"/>
        <w:numPr>
          <w:ilvl w:val="0"/>
          <w:numId w:val="15"/>
        </w:numPr>
      </w:pPr>
      <w:r>
        <w:t>Percent of adults with less than a High School diploma (numeric)</w:t>
      </w:r>
    </w:p>
    <w:p w:rsidR="00D105FA" w:rsidRDefault="00D105FA" w:rsidP="00D105FA">
      <w:pPr>
        <w:pStyle w:val="ListParagraph"/>
        <w:numPr>
          <w:ilvl w:val="0"/>
          <w:numId w:val="15"/>
        </w:numPr>
      </w:pPr>
      <w:r>
        <w:t>Percent of adults with Bachelor’s Degree or higher (numeric)</w:t>
      </w:r>
    </w:p>
    <w:p w:rsidR="00D105FA" w:rsidRDefault="00E71DB2" w:rsidP="00D105FA">
      <w:pPr>
        <w:pStyle w:val="ListParagraph"/>
        <w:numPr>
          <w:ilvl w:val="0"/>
          <w:numId w:val="15"/>
        </w:numPr>
      </w:pPr>
      <w:r>
        <w:t>Percent of adults that are obese and have diabetes (numeric)</w:t>
      </w:r>
    </w:p>
    <w:p w:rsidR="00E71DB2" w:rsidRDefault="00E71DB2" w:rsidP="00D105FA">
      <w:pPr>
        <w:pStyle w:val="ListParagraph"/>
        <w:numPr>
          <w:ilvl w:val="0"/>
          <w:numId w:val="15"/>
        </w:numPr>
      </w:pPr>
      <w:r>
        <w:t>Percent of adults that smoke and have diabetes (numeric)</w:t>
      </w:r>
    </w:p>
    <w:p w:rsidR="00E71DB2" w:rsidRDefault="00E71DB2" w:rsidP="00D105FA">
      <w:pPr>
        <w:pStyle w:val="ListParagraph"/>
        <w:numPr>
          <w:ilvl w:val="0"/>
          <w:numId w:val="15"/>
        </w:numPr>
      </w:pPr>
      <w:r>
        <w:t>Percent of adults that are obese, smoke, and have diabetes (numeric)</w:t>
      </w:r>
    </w:p>
    <w:p w:rsidR="00E71DB2" w:rsidRDefault="00BC7464" w:rsidP="00D105FA">
      <w:pPr>
        <w:pStyle w:val="ListParagraph"/>
        <w:numPr>
          <w:ilvl w:val="0"/>
          <w:numId w:val="15"/>
        </w:numPr>
      </w:pPr>
      <w:r>
        <w:t>H</w:t>
      </w:r>
      <w:r w:rsidR="00E71DB2">
        <w:t>omicides per 100,000 individuals (numeric)</w:t>
      </w:r>
    </w:p>
    <w:p w:rsidR="00E71DB2" w:rsidRDefault="00BC7464" w:rsidP="00D105FA">
      <w:pPr>
        <w:pStyle w:val="ListParagraph"/>
        <w:numPr>
          <w:ilvl w:val="0"/>
          <w:numId w:val="15"/>
        </w:numPr>
      </w:pPr>
      <w:r>
        <w:t>M</w:t>
      </w:r>
      <w:r w:rsidR="00E71DB2">
        <w:t xml:space="preserve">otor vehicle </w:t>
      </w:r>
      <w:r>
        <w:t xml:space="preserve">crash </w:t>
      </w:r>
      <w:r w:rsidR="00E71DB2">
        <w:t>deaths per 100,000 individuals (numeric)</w:t>
      </w:r>
    </w:p>
    <w:sectPr w:rsidR="00E71DB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6A2" w:rsidRDefault="00AC46A2" w:rsidP="00DC1766">
      <w:pPr>
        <w:spacing w:before="0" w:after="0" w:line="240" w:lineRule="auto"/>
      </w:pPr>
      <w:r>
        <w:separator/>
      </w:r>
    </w:p>
  </w:endnote>
  <w:endnote w:type="continuationSeparator" w:id="0">
    <w:p w:rsidR="00AC46A2" w:rsidRDefault="00AC46A2" w:rsidP="00DC1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CFC" w:rsidRDefault="007C1CFC">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233A11">
      <w:rPr>
        <w:noProof/>
        <w:color w:val="404040" w:themeColor="text1" w:themeTint="BF"/>
      </w:rPr>
      <w:t>1</w:t>
    </w:r>
    <w:r>
      <w:rPr>
        <w:noProof/>
        <w:color w:val="404040" w:themeColor="text1" w:themeTint="BF"/>
      </w:rPr>
      <w:fldChar w:fldCharType="end"/>
    </w:r>
  </w:p>
  <w:p w:rsidR="007C1CFC" w:rsidRDefault="007C1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6A2" w:rsidRDefault="00AC46A2" w:rsidP="00DC1766">
      <w:pPr>
        <w:spacing w:before="0" w:after="0" w:line="240" w:lineRule="auto"/>
      </w:pPr>
      <w:r>
        <w:separator/>
      </w:r>
    </w:p>
  </w:footnote>
  <w:footnote w:type="continuationSeparator" w:id="0">
    <w:p w:rsidR="00AC46A2" w:rsidRDefault="00AC46A2" w:rsidP="00DC1766">
      <w:pPr>
        <w:spacing w:before="0" w:after="0" w:line="240" w:lineRule="auto"/>
      </w:pPr>
      <w:r>
        <w:continuationSeparator/>
      </w:r>
    </w:p>
  </w:footnote>
  <w:footnote w:id="1">
    <w:p w:rsidR="007C1CFC" w:rsidRDefault="007C1CFC">
      <w:pPr>
        <w:pStyle w:val="FootnoteText"/>
      </w:pPr>
      <w:r>
        <w:rPr>
          <w:rStyle w:val="FootnoteReference"/>
        </w:rPr>
        <w:footnoteRef/>
      </w:r>
      <w:r>
        <w:t xml:space="preserve"> Adjacent/non-adjacent refers to being adjacent to a metro area</w:t>
      </w:r>
    </w:p>
  </w:footnote>
  <w:footnote w:id="2">
    <w:p w:rsidR="007C1CFC" w:rsidRDefault="007C1CFC">
      <w:pPr>
        <w:pStyle w:val="FootnoteText"/>
      </w:pPr>
      <w:r>
        <w:rPr>
          <w:rStyle w:val="FootnoteReference"/>
        </w:rPr>
        <w:footnoteRef/>
      </w:r>
      <w:r>
        <w:t xml:space="preserve"> All correlation calculations in this analysis are performed after data records with missing values for the feature in questions are removed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6B2C"/>
    <w:multiLevelType w:val="hybridMultilevel"/>
    <w:tmpl w:val="9E103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363B7"/>
    <w:multiLevelType w:val="hybridMultilevel"/>
    <w:tmpl w:val="6372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00CB8"/>
    <w:multiLevelType w:val="hybridMultilevel"/>
    <w:tmpl w:val="5946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B205D"/>
    <w:multiLevelType w:val="hybridMultilevel"/>
    <w:tmpl w:val="A9F83C98"/>
    <w:lvl w:ilvl="0" w:tplc="8F34484A">
      <w:start w:val="1"/>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B1A13"/>
    <w:multiLevelType w:val="hybridMultilevel"/>
    <w:tmpl w:val="F54C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25A85"/>
    <w:multiLevelType w:val="hybridMultilevel"/>
    <w:tmpl w:val="B11AD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A358AE"/>
    <w:multiLevelType w:val="hybridMultilevel"/>
    <w:tmpl w:val="9CE22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D7F76"/>
    <w:multiLevelType w:val="hybridMultilevel"/>
    <w:tmpl w:val="381A86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430AD"/>
    <w:multiLevelType w:val="hybridMultilevel"/>
    <w:tmpl w:val="35D0F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A00231"/>
    <w:multiLevelType w:val="hybridMultilevel"/>
    <w:tmpl w:val="A77A6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F36EFF"/>
    <w:multiLevelType w:val="hybridMultilevel"/>
    <w:tmpl w:val="58C87EBA"/>
    <w:lvl w:ilvl="0" w:tplc="53C2A02C">
      <w:start w:val="1"/>
      <w:numFmt w:val="bullet"/>
      <w:lvlText w:val=""/>
      <w:lvlJc w:val="left"/>
      <w:pPr>
        <w:ind w:left="1080" w:hanging="360"/>
      </w:pPr>
      <w:rPr>
        <w:rFonts w:ascii="Wingdings" w:eastAsia="Times New Roman"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285BE5"/>
    <w:multiLevelType w:val="hybridMultilevel"/>
    <w:tmpl w:val="454E2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E93C73"/>
    <w:multiLevelType w:val="hybridMultilevel"/>
    <w:tmpl w:val="9150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D68EC"/>
    <w:multiLevelType w:val="hybridMultilevel"/>
    <w:tmpl w:val="DDA6A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09715B"/>
    <w:multiLevelType w:val="hybridMultilevel"/>
    <w:tmpl w:val="FEF2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6"/>
  </w:num>
  <w:num w:numId="5">
    <w:abstractNumId w:val="13"/>
  </w:num>
  <w:num w:numId="6">
    <w:abstractNumId w:val="8"/>
  </w:num>
  <w:num w:numId="7">
    <w:abstractNumId w:val="3"/>
  </w:num>
  <w:num w:numId="8">
    <w:abstractNumId w:val="10"/>
  </w:num>
  <w:num w:numId="9">
    <w:abstractNumId w:val="11"/>
  </w:num>
  <w:num w:numId="10">
    <w:abstractNumId w:val="5"/>
  </w:num>
  <w:num w:numId="11">
    <w:abstractNumId w:val="9"/>
  </w:num>
  <w:num w:numId="12">
    <w:abstractNumId w:val="12"/>
  </w:num>
  <w:num w:numId="13">
    <w:abstractNumId w:val="1"/>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DC0"/>
    <w:rsid w:val="000922E2"/>
    <w:rsid w:val="00092F75"/>
    <w:rsid w:val="000B139F"/>
    <w:rsid w:val="000D62D2"/>
    <w:rsid w:val="00112645"/>
    <w:rsid w:val="00117838"/>
    <w:rsid w:val="0012231A"/>
    <w:rsid w:val="00132796"/>
    <w:rsid w:val="00197040"/>
    <w:rsid w:val="001A4D79"/>
    <w:rsid w:val="001B2183"/>
    <w:rsid w:val="001D5B04"/>
    <w:rsid w:val="001F51C4"/>
    <w:rsid w:val="00200F9C"/>
    <w:rsid w:val="00233A11"/>
    <w:rsid w:val="002B318F"/>
    <w:rsid w:val="002C132B"/>
    <w:rsid w:val="002F36E4"/>
    <w:rsid w:val="003D69DA"/>
    <w:rsid w:val="00405DAE"/>
    <w:rsid w:val="00415CC6"/>
    <w:rsid w:val="0041740F"/>
    <w:rsid w:val="0045086B"/>
    <w:rsid w:val="00502671"/>
    <w:rsid w:val="0054791A"/>
    <w:rsid w:val="0065707B"/>
    <w:rsid w:val="006607A8"/>
    <w:rsid w:val="00687F9A"/>
    <w:rsid w:val="006C4453"/>
    <w:rsid w:val="006D1365"/>
    <w:rsid w:val="006D1DCC"/>
    <w:rsid w:val="006E74C3"/>
    <w:rsid w:val="007243D3"/>
    <w:rsid w:val="00741922"/>
    <w:rsid w:val="00743B50"/>
    <w:rsid w:val="007B05DB"/>
    <w:rsid w:val="007C1CFC"/>
    <w:rsid w:val="007D06E5"/>
    <w:rsid w:val="007D7F94"/>
    <w:rsid w:val="007F4733"/>
    <w:rsid w:val="0080571A"/>
    <w:rsid w:val="00812406"/>
    <w:rsid w:val="00827B72"/>
    <w:rsid w:val="008417BE"/>
    <w:rsid w:val="00861DC0"/>
    <w:rsid w:val="00871D0D"/>
    <w:rsid w:val="008B196E"/>
    <w:rsid w:val="008C2974"/>
    <w:rsid w:val="008C4594"/>
    <w:rsid w:val="008E4067"/>
    <w:rsid w:val="00914625"/>
    <w:rsid w:val="00946FB9"/>
    <w:rsid w:val="009601B9"/>
    <w:rsid w:val="009A3B94"/>
    <w:rsid w:val="009D6E99"/>
    <w:rsid w:val="00A359EE"/>
    <w:rsid w:val="00A3616E"/>
    <w:rsid w:val="00A931AF"/>
    <w:rsid w:val="00AC46A2"/>
    <w:rsid w:val="00AE581F"/>
    <w:rsid w:val="00AF3510"/>
    <w:rsid w:val="00B06859"/>
    <w:rsid w:val="00B17402"/>
    <w:rsid w:val="00B5688D"/>
    <w:rsid w:val="00B81864"/>
    <w:rsid w:val="00BC6706"/>
    <w:rsid w:val="00BC7464"/>
    <w:rsid w:val="00BE439D"/>
    <w:rsid w:val="00C405C8"/>
    <w:rsid w:val="00C60181"/>
    <w:rsid w:val="00C97A6B"/>
    <w:rsid w:val="00CE1B5A"/>
    <w:rsid w:val="00D105FA"/>
    <w:rsid w:val="00D11F3A"/>
    <w:rsid w:val="00D30D3A"/>
    <w:rsid w:val="00D451F5"/>
    <w:rsid w:val="00D86BD8"/>
    <w:rsid w:val="00D934DA"/>
    <w:rsid w:val="00D94C6E"/>
    <w:rsid w:val="00DC1766"/>
    <w:rsid w:val="00DF74F6"/>
    <w:rsid w:val="00E023C2"/>
    <w:rsid w:val="00E33227"/>
    <w:rsid w:val="00E71DB2"/>
    <w:rsid w:val="00E8658F"/>
    <w:rsid w:val="00E87AE4"/>
    <w:rsid w:val="00E91B9A"/>
    <w:rsid w:val="00EA4D23"/>
    <w:rsid w:val="00EA609D"/>
    <w:rsid w:val="00EA66C4"/>
    <w:rsid w:val="00EE6564"/>
    <w:rsid w:val="00EF2DC5"/>
    <w:rsid w:val="00EF36E7"/>
    <w:rsid w:val="00F3451D"/>
    <w:rsid w:val="00F4308B"/>
    <w:rsid w:val="00F62805"/>
    <w:rsid w:val="00F62C7E"/>
    <w:rsid w:val="00FB7C24"/>
    <w:rsid w:val="00FC1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D0D2"/>
  <w15:chartTrackingRefBased/>
  <w15:docId w15:val="{4B8F6F12-46F2-4258-9B76-DE74065B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DC0"/>
  </w:style>
  <w:style w:type="paragraph" w:styleId="Heading1">
    <w:name w:val="heading 1"/>
    <w:basedOn w:val="Normal"/>
    <w:next w:val="Normal"/>
    <w:link w:val="Heading1Char"/>
    <w:uiPriority w:val="9"/>
    <w:qFormat/>
    <w:rsid w:val="00861D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1D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61DC0"/>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61DC0"/>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61DC0"/>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61DC0"/>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61DC0"/>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61DC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DC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DC0"/>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61DC0"/>
    <w:rPr>
      <w:caps/>
      <w:spacing w:val="15"/>
      <w:shd w:val="clear" w:color="auto" w:fill="DEEAF6" w:themeFill="accent1" w:themeFillTint="33"/>
    </w:rPr>
  </w:style>
  <w:style w:type="character" w:customStyle="1" w:styleId="Heading3Char">
    <w:name w:val="Heading 3 Char"/>
    <w:basedOn w:val="DefaultParagraphFont"/>
    <w:link w:val="Heading3"/>
    <w:uiPriority w:val="9"/>
    <w:rsid w:val="00861DC0"/>
    <w:rPr>
      <w:caps/>
      <w:color w:val="1F4D78" w:themeColor="accent1" w:themeShade="7F"/>
      <w:spacing w:val="15"/>
    </w:rPr>
  </w:style>
  <w:style w:type="character" w:customStyle="1" w:styleId="Heading4Char">
    <w:name w:val="Heading 4 Char"/>
    <w:basedOn w:val="DefaultParagraphFont"/>
    <w:link w:val="Heading4"/>
    <w:uiPriority w:val="9"/>
    <w:rsid w:val="00861DC0"/>
    <w:rPr>
      <w:caps/>
      <w:color w:val="2E74B5" w:themeColor="accent1" w:themeShade="BF"/>
      <w:spacing w:val="10"/>
    </w:rPr>
  </w:style>
  <w:style w:type="character" w:customStyle="1" w:styleId="Heading5Char">
    <w:name w:val="Heading 5 Char"/>
    <w:basedOn w:val="DefaultParagraphFont"/>
    <w:link w:val="Heading5"/>
    <w:uiPriority w:val="9"/>
    <w:rsid w:val="00861DC0"/>
    <w:rPr>
      <w:caps/>
      <w:color w:val="2E74B5" w:themeColor="accent1" w:themeShade="BF"/>
      <w:spacing w:val="10"/>
    </w:rPr>
  </w:style>
  <w:style w:type="character" w:customStyle="1" w:styleId="Heading6Char">
    <w:name w:val="Heading 6 Char"/>
    <w:basedOn w:val="DefaultParagraphFont"/>
    <w:link w:val="Heading6"/>
    <w:uiPriority w:val="9"/>
    <w:semiHidden/>
    <w:rsid w:val="00861DC0"/>
    <w:rPr>
      <w:caps/>
      <w:color w:val="2E74B5" w:themeColor="accent1" w:themeShade="BF"/>
      <w:spacing w:val="10"/>
    </w:rPr>
  </w:style>
  <w:style w:type="character" w:customStyle="1" w:styleId="Heading7Char">
    <w:name w:val="Heading 7 Char"/>
    <w:basedOn w:val="DefaultParagraphFont"/>
    <w:link w:val="Heading7"/>
    <w:uiPriority w:val="9"/>
    <w:semiHidden/>
    <w:rsid w:val="00861DC0"/>
    <w:rPr>
      <w:caps/>
      <w:color w:val="2E74B5" w:themeColor="accent1" w:themeShade="BF"/>
      <w:spacing w:val="10"/>
    </w:rPr>
  </w:style>
  <w:style w:type="character" w:customStyle="1" w:styleId="Heading8Char">
    <w:name w:val="Heading 8 Char"/>
    <w:basedOn w:val="DefaultParagraphFont"/>
    <w:link w:val="Heading8"/>
    <w:uiPriority w:val="9"/>
    <w:semiHidden/>
    <w:rsid w:val="00861DC0"/>
    <w:rPr>
      <w:caps/>
      <w:spacing w:val="10"/>
      <w:sz w:val="18"/>
      <w:szCs w:val="18"/>
    </w:rPr>
  </w:style>
  <w:style w:type="character" w:customStyle="1" w:styleId="Heading9Char">
    <w:name w:val="Heading 9 Char"/>
    <w:basedOn w:val="DefaultParagraphFont"/>
    <w:link w:val="Heading9"/>
    <w:uiPriority w:val="9"/>
    <w:semiHidden/>
    <w:rsid w:val="00861DC0"/>
    <w:rPr>
      <w:i/>
      <w:iCs/>
      <w:caps/>
      <w:spacing w:val="10"/>
      <w:sz w:val="18"/>
      <w:szCs w:val="18"/>
    </w:rPr>
  </w:style>
  <w:style w:type="paragraph" w:styleId="Caption">
    <w:name w:val="caption"/>
    <w:basedOn w:val="Normal"/>
    <w:next w:val="Normal"/>
    <w:uiPriority w:val="35"/>
    <w:unhideWhenUsed/>
    <w:qFormat/>
    <w:rsid w:val="00861DC0"/>
    <w:rPr>
      <w:b/>
      <w:bCs/>
      <w:color w:val="2E74B5" w:themeColor="accent1" w:themeShade="BF"/>
      <w:sz w:val="16"/>
      <w:szCs w:val="16"/>
    </w:rPr>
  </w:style>
  <w:style w:type="paragraph" w:styleId="Title">
    <w:name w:val="Title"/>
    <w:basedOn w:val="Normal"/>
    <w:next w:val="Normal"/>
    <w:link w:val="TitleChar"/>
    <w:uiPriority w:val="10"/>
    <w:qFormat/>
    <w:rsid w:val="00861D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61DC0"/>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61DC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1DC0"/>
    <w:rPr>
      <w:caps/>
      <w:color w:val="595959" w:themeColor="text1" w:themeTint="A6"/>
      <w:spacing w:val="10"/>
      <w:sz w:val="21"/>
      <w:szCs w:val="21"/>
    </w:rPr>
  </w:style>
  <w:style w:type="character" w:styleId="Strong">
    <w:name w:val="Strong"/>
    <w:uiPriority w:val="22"/>
    <w:qFormat/>
    <w:rsid w:val="00861DC0"/>
    <w:rPr>
      <w:b/>
      <w:bCs/>
    </w:rPr>
  </w:style>
  <w:style w:type="character" w:styleId="Emphasis">
    <w:name w:val="Emphasis"/>
    <w:uiPriority w:val="20"/>
    <w:qFormat/>
    <w:rsid w:val="00861DC0"/>
    <w:rPr>
      <w:caps/>
      <w:color w:val="1F4D78" w:themeColor="accent1" w:themeShade="7F"/>
      <w:spacing w:val="5"/>
    </w:rPr>
  </w:style>
  <w:style w:type="paragraph" w:styleId="NoSpacing">
    <w:name w:val="No Spacing"/>
    <w:uiPriority w:val="1"/>
    <w:qFormat/>
    <w:rsid w:val="00861DC0"/>
    <w:pPr>
      <w:spacing w:after="0" w:line="240" w:lineRule="auto"/>
    </w:pPr>
  </w:style>
  <w:style w:type="paragraph" w:styleId="Quote">
    <w:name w:val="Quote"/>
    <w:basedOn w:val="Normal"/>
    <w:next w:val="Normal"/>
    <w:link w:val="QuoteChar"/>
    <w:uiPriority w:val="29"/>
    <w:qFormat/>
    <w:rsid w:val="00861DC0"/>
    <w:rPr>
      <w:i/>
      <w:iCs/>
      <w:sz w:val="24"/>
      <w:szCs w:val="24"/>
    </w:rPr>
  </w:style>
  <w:style w:type="character" w:customStyle="1" w:styleId="QuoteChar">
    <w:name w:val="Quote Char"/>
    <w:basedOn w:val="DefaultParagraphFont"/>
    <w:link w:val="Quote"/>
    <w:uiPriority w:val="29"/>
    <w:rsid w:val="00861DC0"/>
    <w:rPr>
      <w:i/>
      <w:iCs/>
      <w:sz w:val="24"/>
      <w:szCs w:val="24"/>
    </w:rPr>
  </w:style>
  <w:style w:type="paragraph" w:styleId="IntenseQuote">
    <w:name w:val="Intense Quote"/>
    <w:basedOn w:val="Normal"/>
    <w:next w:val="Normal"/>
    <w:link w:val="IntenseQuoteChar"/>
    <w:uiPriority w:val="30"/>
    <w:qFormat/>
    <w:rsid w:val="00861DC0"/>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61DC0"/>
    <w:rPr>
      <w:color w:val="5B9BD5" w:themeColor="accent1"/>
      <w:sz w:val="24"/>
      <w:szCs w:val="24"/>
    </w:rPr>
  </w:style>
  <w:style w:type="character" w:styleId="SubtleEmphasis">
    <w:name w:val="Subtle Emphasis"/>
    <w:uiPriority w:val="19"/>
    <w:qFormat/>
    <w:rsid w:val="00861DC0"/>
    <w:rPr>
      <w:i/>
      <w:iCs/>
      <w:color w:val="1F4D78" w:themeColor="accent1" w:themeShade="7F"/>
    </w:rPr>
  </w:style>
  <w:style w:type="character" w:styleId="IntenseEmphasis">
    <w:name w:val="Intense Emphasis"/>
    <w:uiPriority w:val="21"/>
    <w:qFormat/>
    <w:rsid w:val="00861DC0"/>
    <w:rPr>
      <w:b/>
      <w:bCs/>
      <w:caps/>
      <w:color w:val="1F4D78" w:themeColor="accent1" w:themeShade="7F"/>
      <w:spacing w:val="10"/>
    </w:rPr>
  </w:style>
  <w:style w:type="character" w:styleId="SubtleReference">
    <w:name w:val="Subtle Reference"/>
    <w:uiPriority w:val="31"/>
    <w:qFormat/>
    <w:rsid w:val="00861DC0"/>
    <w:rPr>
      <w:b/>
      <w:bCs/>
      <w:color w:val="5B9BD5" w:themeColor="accent1"/>
    </w:rPr>
  </w:style>
  <w:style w:type="character" w:styleId="IntenseReference">
    <w:name w:val="Intense Reference"/>
    <w:uiPriority w:val="32"/>
    <w:qFormat/>
    <w:rsid w:val="00861DC0"/>
    <w:rPr>
      <w:b/>
      <w:bCs/>
      <w:i/>
      <w:iCs/>
      <w:caps/>
      <w:color w:val="5B9BD5" w:themeColor="accent1"/>
    </w:rPr>
  </w:style>
  <w:style w:type="character" w:styleId="BookTitle">
    <w:name w:val="Book Title"/>
    <w:uiPriority w:val="33"/>
    <w:qFormat/>
    <w:rsid w:val="00861DC0"/>
    <w:rPr>
      <w:b/>
      <w:bCs/>
      <w:i/>
      <w:iCs/>
      <w:spacing w:val="0"/>
    </w:rPr>
  </w:style>
  <w:style w:type="paragraph" w:styleId="TOCHeading">
    <w:name w:val="TOC Heading"/>
    <w:basedOn w:val="Heading1"/>
    <w:next w:val="Normal"/>
    <w:uiPriority w:val="39"/>
    <w:semiHidden/>
    <w:unhideWhenUsed/>
    <w:qFormat/>
    <w:rsid w:val="00861DC0"/>
    <w:pPr>
      <w:outlineLvl w:val="9"/>
    </w:pPr>
  </w:style>
  <w:style w:type="paragraph" w:styleId="ListParagraph">
    <w:name w:val="List Paragraph"/>
    <w:basedOn w:val="Normal"/>
    <w:uiPriority w:val="34"/>
    <w:qFormat/>
    <w:rsid w:val="008B196E"/>
    <w:pPr>
      <w:ind w:left="720"/>
      <w:contextualSpacing/>
    </w:pPr>
  </w:style>
  <w:style w:type="character" w:styleId="CommentReference">
    <w:name w:val="annotation reference"/>
    <w:basedOn w:val="DefaultParagraphFont"/>
    <w:uiPriority w:val="99"/>
    <w:semiHidden/>
    <w:unhideWhenUsed/>
    <w:rsid w:val="00BC6706"/>
    <w:rPr>
      <w:sz w:val="16"/>
      <w:szCs w:val="16"/>
    </w:rPr>
  </w:style>
  <w:style w:type="paragraph" w:styleId="CommentText">
    <w:name w:val="annotation text"/>
    <w:basedOn w:val="Normal"/>
    <w:link w:val="CommentTextChar"/>
    <w:uiPriority w:val="99"/>
    <w:semiHidden/>
    <w:unhideWhenUsed/>
    <w:rsid w:val="00BC6706"/>
    <w:pPr>
      <w:spacing w:line="240" w:lineRule="auto"/>
    </w:pPr>
  </w:style>
  <w:style w:type="character" w:customStyle="1" w:styleId="CommentTextChar">
    <w:name w:val="Comment Text Char"/>
    <w:basedOn w:val="DefaultParagraphFont"/>
    <w:link w:val="CommentText"/>
    <w:uiPriority w:val="99"/>
    <w:semiHidden/>
    <w:rsid w:val="00BC6706"/>
  </w:style>
  <w:style w:type="paragraph" w:styleId="CommentSubject">
    <w:name w:val="annotation subject"/>
    <w:basedOn w:val="CommentText"/>
    <w:next w:val="CommentText"/>
    <w:link w:val="CommentSubjectChar"/>
    <w:uiPriority w:val="99"/>
    <w:semiHidden/>
    <w:unhideWhenUsed/>
    <w:rsid w:val="00BC6706"/>
    <w:rPr>
      <w:b/>
      <w:bCs/>
    </w:rPr>
  </w:style>
  <w:style w:type="character" w:customStyle="1" w:styleId="CommentSubjectChar">
    <w:name w:val="Comment Subject Char"/>
    <w:basedOn w:val="CommentTextChar"/>
    <w:link w:val="CommentSubject"/>
    <w:uiPriority w:val="99"/>
    <w:semiHidden/>
    <w:rsid w:val="00BC6706"/>
    <w:rPr>
      <w:b/>
      <w:bCs/>
    </w:rPr>
  </w:style>
  <w:style w:type="paragraph" w:styleId="BalloonText">
    <w:name w:val="Balloon Text"/>
    <w:basedOn w:val="Normal"/>
    <w:link w:val="BalloonTextChar"/>
    <w:uiPriority w:val="99"/>
    <w:semiHidden/>
    <w:unhideWhenUsed/>
    <w:rsid w:val="00BC670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706"/>
    <w:rPr>
      <w:rFonts w:ascii="Segoe UI" w:hAnsi="Segoe UI" w:cs="Segoe UI"/>
      <w:sz w:val="18"/>
      <w:szCs w:val="18"/>
    </w:rPr>
  </w:style>
  <w:style w:type="table" w:styleId="TableGrid">
    <w:name w:val="Table Grid"/>
    <w:basedOn w:val="TableNormal"/>
    <w:uiPriority w:val="39"/>
    <w:rsid w:val="008C297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C29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DC1766"/>
    <w:pPr>
      <w:spacing w:before="0" w:after="0" w:line="240" w:lineRule="auto"/>
    </w:pPr>
  </w:style>
  <w:style w:type="character" w:customStyle="1" w:styleId="FootnoteTextChar">
    <w:name w:val="Footnote Text Char"/>
    <w:basedOn w:val="DefaultParagraphFont"/>
    <w:link w:val="FootnoteText"/>
    <w:uiPriority w:val="99"/>
    <w:semiHidden/>
    <w:rsid w:val="00DC1766"/>
  </w:style>
  <w:style w:type="character" w:styleId="FootnoteReference">
    <w:name w:val="footnote reference"/>
    <w:basedOn w:val="DefaultParagraphFont"/>
    <w:uiPriority w:val="99"/>
    <w:semiHidden/>
    <w:unhideWhenUsed/>
    <w:rsid w:val="00DC1766"/>
    <w:rPr>
      <w:vertAlign w:val="superscript"/>
    </w:rPr>
  </w:style>
  <w:style w:type="paragraph" w:styleId="Header">
    <w:name w:val="header"/>
    <w:basedOn w:val="Normal"/>
    <w:link w:val="HeaderChar"/>
    <w:uiPriority w:val="99"/>
    <w:unhideWhenUsed/>
    <w:rsid w:val="00CE1B5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E1B5A"/>
  </w:style>
  <w:style w:type="paragraph" w:styleId="Footer">
    <w:name w:val="footer"/>
    <w:basedOn w:val="Normal"/>
    <w:link w:val="FooterChar"/>
    <w:uiPriority w:val="99"/>
    <w:unhideWhenUsed/>
    <w:qFormat/>
    <w:rsid w:val="00CE1B5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E1B5A"/>
  </w:style>
  <w:style w:type="character" w:styleId="PlaceholderText">
    <w:name w:val="Placeholder Text"/>
    <w:basedOn w:val="DefaultParagraphFont"/>
    <w:uiPriority w:val="99"/>
    <w:semiHidden/>
    <w:rsid w:val="006C44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307054">
      <w:bodyDiv w:val="1"/>
      <w:marLeft w:val="0"/>
      <w:marRight w:val="0"/>
      <w:marTop w:val="0"/>
      <w:marBottom w:val="0"/>
      <w:divBdr>
        <w:top w:val="none" w:sz="0" w:space="0" w:color="auto"/>
        <w:left w:val="none" w:sz="0" w:space="0" w:color="auto"/>
        <w:bottom w:val="none" w:sz="0" w:space="0" w:color="auto"/>
        <w:right w:val="none" w:sz="0" w:space="0" w:color="auto"/>
      </w:divBdr>
    </w:div>
    <w:div w:id="1504467863">
      <w:bodyDiv w:val="1"/>
      <w:marLeft w:val="0"/>
      <w:marRight w:val="0"/>
      <w:marTop w:val="0"/>
      <w:marBottom w:val="0"/>
      <w:divBdr>
        <w:top w:val="none" w:sz="0" w:space="0" w:color="auto"/>
        <w:left w:val="none" w:sz="0" w:space="0" w:color="auto"/>
        <w:bottom w:val="none" w:sz="0" w:space="0" w:color="auto"/>
        <w:right w:val="none" w:sz="0" w:space="0" w:color="auto"/>
      </w:divBdr>
    </w:div>
    <w:div w:id="158606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05C1E-BDF9-47DA-8DF6-A094DAA52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20</Pages>
  <Words>3006</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Cameron LNG</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Edelman</dc:creator>
  <cp:keywords/>
  <dc:description/>
  <cp:lastModifiedBy>David Edelman</cp:lastModifiedBy>
  <cp:revision>46</cp:revision>
  <dcterms:created xsi:type="dcterms:W3CDTF">2018-07-19T12:39:00Z</dcterms:created>
  <dcterms:modified xsi:type="dcterms:W3CDTF">2018-07-24T18:06:00Z</dcterms:modified>
</cp:coreProperties>
</file>