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color w:val="2E75B6"/>
          <w:sz w:val="20"/>
          <w:szCs w:val="20"/>
        </w:rPr>
        <w:t xml:space="preserve">SCOPING REVIEW PROTOCOL</w:t>
      </w:r>
    </w:p>
    <w:p>
      <w:pPr>
        <w:spacing w:after="80" w:before="200"/>
        <w:jc w:val="center"/>
      </w:pPr>
      <w:r>
        <w:rPr>
          <w:rFonts w:ascii="Arial" w:cs="Arial" w:eastAsia="Arial" w:hAnsi="Arial"/>
          <w:b/>
          <w:bCs/>
          <w:color w:val="1F3864"/>
          <w:sz w:val="40"/>
          <w:szCs w:val="40"/>
        </w:rPr>
        <w:t xml:space="preserve">Palisading Neutrophilic and Granulomatous Dermatitis</w:t>
      </w:r>
    </w:p>
    <w:p>
      <w:pPr>
        <w:spacing w:after="80" w:before="0"/>
        <w:jc w:val="center"/>
      </w:pPr>
      <w:r>
        <w:rPr>
          <w:rFonts w:ascii="Arial" w:cs="Arial" w:eastAsia="Arial" w:hAnsi="Arial"/>
          <w:b/>
          <w:bCs/>
          <w:color w:val="1F3864"/>
          <w:sz w:val="40"/>
          <w:szCs w:val="40"/>
        </w:rPr>
        <w:t xml:space="preserve">or Reactive Granulomatous Dermatitis?</w:t>
      </w:r>
    </w:p>
    <w:p>
      <w:pPr>
        <w:spacing w:after="200" w:before="60"/>
        <w:jc w:val="center"/>
      </w:pPr>
      <w:r>
        <w:rPr>
          <w:rFonts w:ascii="Arial" w:cs="Arial" w:eastAsia="Arial" w:hAnsi="Arial"/>
          <w:b/>
          <w:bCs/>
          <w:color w:val="1F3864"/>
          <w:sz w:val="28"/>
          <w:szCs w:val="28"/>
        </w:rPr>
        <w:t xml:space="preserve">A Scoping Review of the Terminological, Histopathological, and Clinicopathological Spectrum from Allergic Granulomatosis to the Present</w:t>
      </w:r>
    </w:p>
    <w:p>
      <w:pPr>
        <w:spacing w:after="80" w:before="120"/>
        <w:jc w:val="center"/>
      </w:pPr>
      <w:r>
        <w:rPr>
          <w:rFonts w:ascii="Arial" w:cs="Arial" w:eastAsia="Arial" w:hAnsi="Arial"/>
          <w:sz w:val="20"/>
          <w:szCs w:val="20"/>
        </w:rPr>
        <w:t xml:space="preserve">Rafael de Deus Moura¹, Carla Riama Lopes de Pádua Moura¹, Carlos Emanuel Ferreira Nunes¹,</w:t>
      </w:r>
    </w:p>
    <w:p>
      <w:pPr>
        <w:spacing w:after="80" w:before="0"/>
        <w:jc w:val="center"/>
      </w:pPr>
      <w:r>
        <w:rPr>
          <w:rFonts w:ascii="Arial" w:cs="Arial" w:eastAsia="Arial" w:hAnsi="Arial"/>
          <w:sz w:val="20"/>
          <w:szCs w:val="20"/>
        </w:rPr>
        <w:t xml:space="preserve">Caio Vasconcelos Castelo Branco Soares¹, Eric Araújo Lucas de Barros¹, Thiago Jeunon²</w:t>
      </w:r>
    </w:p>
    <w:p>
      <w:pPr>
        <w:spacing w:after="40" w:before="60"/>
        <w:jc w:val="center"/>
      </w:pPr>
      <w:r>
        <w:rPr>
          <w:rFonts w:ascii="Arial" w:cs="Arial" w:eastAsia="Arial" w:hAnsi="Arial"/>
          <w:i/>
          <w:iCs/>
          <w:sz w:val="20"/>
          <w:szCs w:val="20"/>
        </w:rPr>
        <w:t xml:space="preserve">¹ Universidade Federal do Piauí (UFPI), Teresina, Piauí, Brazil</w:t>
      </w:r>
    </w:p>
    <w:p>
      <w:pPr>
        <w:spacing w:after="120" w:before="0"/>
        <w:jc w:val="center"/>
      </w:pPr>
      <w:r>
        <w:rPr>
          <w:rFonts w:ascii="Arial" w:cs="Arial" w:eastAsia="Arial" w:hAnsi="Arial"/>
          <w:i/>
          <w:iCs/>
          <w:sz w:val="20"/>
          <w:szCs w:val="20"/>
        </w:rPr>
        <w:t xml:space="preserve">² Investigação em Dermatologia, Rio de Janeiro, RJ, Brazil</w:t>
      </w:r>
    </w:p>
    <w:p>
      <w:pPr>
        <w:spacing w:after="40" w:before="60"/>
        <w:jc w:val="center"/>
      </w:pPr>
      <w:r>
        <w:rPr>
          <w:rFonts w:ascii="Arial" w:cs="Arial" w:eastAsia="Arial" w:hAnsi="Arial"/>
          <w:sz w:val="20"/>
          <w:szCs w:val="20"/>
        </w:rPr>
        <w:t xml:space="preserve">Methodology: Scoping Review — PRISMA-ScR / JBI Framework</w:t>
      </w:r>
    </w:p>
    <w:p>
      <w:pPr>
        <w:spacing w:after="40" w:before="40"/>
        <w:jc w:val="center"/>
      </w:pPr>
      <w:r>
        <w:rPr>
          <w:rFonts w:ascii="Arial" w:cs="Arial" w:eastAsia="Arial" w:hAnsi="Arial"/>
          <w:sz w:val="20"/>
          <w:szCs w:val="20"/>
        </w:rPr>
        <w:t xml:space="preserve">Date of Protocol: April 2026</w:t>
      </w:r>
    </w:p>
    <w:p>
      <w:pPr>
        <w:spacing w:after="40" w:before="40"/>
        <w:jc w:val="center"/>
      </w:pPr>
      <w:r>
        <w:rPr>
          <w:rFonts w:ascii="Arial" w:cs="Arial" w:eastAsia="Arial" w:hAnsi="Arial"/>
          <w:sz w:val="20"/>
          <w:szCs w:val="20"/>
        </w:rPr>
        <w:t xml:space="preserve">Registration: Open Science Framework (OSF) — submission pending</w:t>
      </w:r>
    </w:p>
    <w:p>
      <w:pPr>
        <w:spacing w:after="300" w:before="40"/>
        <w:jc w:val="center"/>
      </w:pPr>
      <w:r>
        <w:rPr>
          <w:rFonts w:ascii="Arial" w:cs="Arial" w:eastAsia="Arial" w:hAnsi="Arial"/>
          <w:sz w:val="20"/>
          <w:szCs w:val="20"/>
        </w:rPr>
        <w:t xml:space="preserve">Corresponding Author: Thiago Jeunon — thiago.jeunon@gmail.com</w:t>
      </w:r>
    </w:p>
    <w:p>
      <w:pPr>
        <w:spacing w:after="120" w:before="280"/>
      </w:pPr>
      <w:r>
        <w:rPr>
          <w:rFonts w:ascii="Arial" w:cs="Arial" w:eastAsia="Arial" w:hAnsi="Arial"/>
          <w:b/>
          <w:bCs/>
          <w:color w:val="1F3864"/>
          <w:sz w:val="28"/>
          <w:szCs w:val="28"/>
        </w:rPr>
        <w:t xml:space="preserve">1. BACKGROUND</w:t>
      </w:r>
    </w:p>
    <w:p>
      <w:pPr>
        <w:spacing w:after="100" w:before="100"/>
        <w:jc w:val="both"/>
      </w:pPr>
      <w:r>
        <w:rPr>
          <w:rFonts w:ascii="Arial" w:cs="Arial" w:eastAsia="Arial" w:hAnsi="Arial"/>
          <w:sz w:val="20"/>
          <w:szCs w:val="20"/>
        </w:rPr>
        <w:t xml:space="preserve">A distinctive reactive cutaneous pattern characterized by neutrophilic infiltration, palisading histiocytic granulomas surrounding foci of degenerated collagen, ranging from early neutrophilic-predominant stages to late-stage dermal fibrosis, has been recognized in the dermatological literature for over seven decades. Since its first formal description by Churg and Strauss in 1951, who identified extravascular necrotizing granulomas as a component of allergic granulomatosis, this clinicopathological entity has accumulated a confusing array of parallel designations — including Interstitial Granulomatous Dermatitis (IGD), Palisading Neutrophilic and Granulomatous Dermatitis (PNGD), Extravascular Necrotizing Granuloma (GNEC), Rheumatoid Papules, Reactive Granulomatous Dermatitis (RGD), and Winkelmann Granuloma — each reflecting distinct but partially overlapping conceptual frameworks.</w:t>
      </w:r>
    </w:p>
    <w:p>
      <w:pPr>
        <w:spacing w:after="100" w:before="100"/>
        <w:jc w:val="both"/>
      </w:pPr>
      <w:r>
        <w:rPr>
          <w:rFonts w:ascii="Arial" w:cs="Arial" w:eastAsia="Arial" w:hAnsi="Arial"/>
          <w:sz w:val="20"/>
          <w:szCs w:val="20"/>
        </w:rPr>
        <w:t xml:space="preserve">More recent literature has proposed Reactive Granulomatous Dermatitis (RGD) as a unifying designation (Rosenbach &amp; English, 2015). However, this proposal carries an inherent conceptual limitation: the qualifier ‘granulomatous’ presupposes the histopathological presence of well-formed histiocytic aggregates, a defining feature that does not encompass the full morphological spectrum of the entity. In its early stages, the process may be predominantly neutrophilic, with leukocytoclasia and interstitial infiltration but without discrete granuloma formation. At the fibrosing end of the spectrum, the pattern may be predominantly constituted by degenerated collagen with a necrobiosis lipoidica-like appearance, again without prominent histiocytic aggregates. The term RGD thus risks imposing a histopathological requirement that excludes precisely those presentations that have historically generated the most diagnostic uncertainty.</w:t>
      </w:r>
    </w:p>
    <w:p>
      <w:pPr>
        <w:spacing w:after="100" w:before="100"/>
        <w:jc w:val="both"/>
      </w:pPr>
      <w:r>
        <w:rPr>
          <w:rFonts w:ascii="Arial" w:cs="Arial" w:eastAsia="Arial" w:hAnsi="Arial"/>
          <w:sz w:val="20"/>
          <w:szCs w:val="20"/>
        </w:rPr>
        <w:t xml:space="preserve">Conversely, the term Palisading Neutrophilic and Granulomatous Dermatitis (PNGD), proposed by Chu, Connolly &amp; LeBoit (1994), acknowledges both the neutrophilic and granulomatous components of the spectrum, making it arguably more versatile. Yet it too falls short of a truly comprehensive designation: some presentations are exclusively neutrophilic, others exclusively granulomatous, and neither component may be prominent in the late fibrosing phase. No currently available term fully captures the clinical, histopathological, and immunological breadth of this reactive dermal process.</w:t>
      </w:r>
    </w:p>
    <w:p>
      <w:pPr>
        <w:spacing w:after="100" w:before="100"/>
        <w:jc w:val="both"/>
      </w:pPr>
      <w:r>
        <w:rPr>
          <w:rFonts w:ascii="Arial" w:cs="Arial" w:eastAsia="Arial" w:hAnsi="Arial"/>
          <w:sz w:val="20"/>
          <w:szCs w:val="20"/>
        </w:rPr>
        <w:t xml:space="preserve">This terminological impasse is not merely semantic. In a substantial proportion of cases, these cutaneous patterns represent the first clinical manifestation of an underlying systemic disease, most commonly rheumatoid arthritis and other autoimmune connective tissue diseases, but also systemic vasculitides, lymphoproliferative malignancies, inflammatory bowel disease, infections, and drug reactions. Delayed or inconsistent recognition of this cutaneous marker — compounded by terminological fragmentation — may translate into delayed diagnosis of potentially life-threatening conditions.</w:t>
      </w:r>
    </w:p>
    <w:p>
      <w:pPr>
        <w:spacing w:after="100" w:before="100"/>
        <w:jc w:val="both"/>
      </w:pPr>
      <w:r>
        <w:rPr>
          <w:rFonts w:ascii="Arial" w:cs="Arial" w:eastAsia="Arial" w:hAnsi="Arial"/>
          <w:sz w:val="20"/>
          <w:szCs w:val="20"/>
        </w:rPr>
        <w:t xml:space="preserve">A preliminary search for existing scoping reviews, systematic reviews, and review protocols on this topic was conducted in major evidence-synthesis sources and bibliographic databases. No review was identified that comprehensively mapped the terminological, histopathological, and systemic association spectrum of PNGD and related entities across the full historical literature.</w:t>
      </w:r>
    </w:p>
    <w:p>
      <w:pPr>
        <w:spacing w:after="100" w:before="100"/>
        <w:jc w:val="both"/>
      </w:pPr>
      <w:r>
        <w:rPr>
          <w:rFonts w:ascii="Arial" w:cs="Arial" w:eastAsia="Arial" w:hAnsi="Arial"/>
          <w:sz w:val="20"/>
          <w:szCs w:val="20"/>
        </w:rPr>
        <w:t xml:space="preserve">A rigorous and comprehensive scoping review of the full literature is therefore warranted to map the terminological landscape, assess the histopathological boundaries of the spectrum, and critically organize the available evidence. This review is intended to map and critically organize the available literature rather than to issue formal clinical recommendations or impose a definitive nosologic standard. Any proposed terminological implications will be framed as interpretive contributions derived from the mapped evidence.</w:t>
      </w:r>
    </w:p>
    <w:p>
      <w:pPr>
        <w:spacing w:after="120" w:before="280"/>
      </w:pPr>
      <w:r>
        <w:rPr>
          <w:rFonts w:ascii="Arial" w:cs="Arial" w:eastAsia="Arial" w:hAnsi="Arial"/>
          <w:b/>
          <w:bCs/>
          <w:color w:val="1F3864"/>
          <w:sz w:val="28"/>
          <w:szCs w:val="28"/>
        </w:rPr>
        <w:t xml:space="preserve">2. RESEARCH QUESTION</w:t>
      </w:r>
    </w:p>
    <w:p>
      <w:pPr>
        <w:spacing w:after="100" w:before="100"/>
        <w:jc w:val="both"/>
      </w:pPr>
      <w:r>
        <w:rPr>
          <w:rFonts w:ascii="Arial" w:cs="Arial" w:eastAsia="Arial" w:hAnsi="Arial"/>
          <w:sz w:val="20"/>
          <w:szCs w:val="20"/>
        </w:rPr>
        <w:t xml:space="preserve">The guiding research question, formulated according to the PCC (Population, Concept, Context) framework recommended by the Joanna Briggs Institute (JBI) for scoping reviews, is:</w:t>
      </w:r>
    </w:p>
    <w:p>
      <w:pPr>
        <w:spacing w:after="160" w:before="160"/>
        <w:jc w:val="center"/>
      </w:pPr>
      <w:r>
        <w:rPr>
          <w:rFonts w:ascii="Arial" w:cs="Arial" w:eastAsia="Arial" w:hAnsi="Arial"/>
          <w:b/>
          <w:bCs/>
          <w:sz w:val="20"/>
          <w:szCs w:val="20"/>
        </w:rPr>
        <w:t xml:space="preserve">What is the terminological, histopathological, and systemic association spectrum of palisading neutrophilic and granulomatous dermatitis and related entities described in the medical literature from database inception to the date of search execution?</w:t>
      </w:r>
    </w:p>
    <w:tbl>
      <w:tblPr>
        <w:tblW w:type="dxa" w:w="9026"/>
      </w:tblPr>
      <w:tblGrid>
        <w:gridCol w:w="2000"/>
        <w:gridCol w:w="7026"/>
      </w:tblGrid>
      <w:t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PCC</w:t>
            </w:r>
          </w:p>
        </w:tc>
        <w:tc>
          <w:tcPr>
            <w:tcW w:type="dxa" w:w="70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Population</w:t>
            </w:r>
          </w:p>
        </w:tc>
        <w:tc>
          <w:tcPr>
            <w:tcW w:type="dxa" w:w="7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Patients of any age, sex, or clinical background with a diagnosis of palisading neutrophilic and granulomatous dermatitis (PNGD), interstitial granulomatous dermatitis (IGD), extravascular necrotizing granuloma (Churg-Strauss cutaneous granuloma), rheumatoid papules, reactive granulomatous dermatitis (RGD), Winkelmann granuloma, or any terminological equivalent or related entity described in the literature.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Concept</w:t>
            </w:r>
          </w:p>
        </w:tc>
        <w:tc>
          <w:tcPr>
            <w:tcW w:type="dxa" w:w="7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Terminological, histopathological, and clinicopathological spectrum, and systemic associations, encompassing palisading neutrophilic and granulomatous dermatitis, interstitial granulomatous dermatitis, extravascular necrotizing granuloma (Churg-Strauss cutaneous granuloma), rheumatoid papules, reactive granulomatous dermatitis, Winkelmann granuloma, and all terminological variants and related entities used in the literature.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Context</w:t>
            </w:r>
          </w:p>
        </w:tc>
        <w:tc>
          <w:tcPr>
            <w:tcW w:type="dxa" w:w="7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Any clinical, dermatopathological, or academic setting in which these entities are described or discussed, without geographic or institutional restriction.</w:t>
            </w:r>
          </w:p>
        </w:tc>
      </w:tr>
    </w:tbl>
    <w:p>
      <w:pPr>
        <w:spacing w:after="60" w:before="60"/>
      </w:pPr>
    </w:p>
    <w:p>
      <w:pPr>
        <w:spacing w:after="120" w:before="280"/>
      </w:pPr>
      <w:r>
        <w:rPr>
          <w:rFonts w:ascii="Arial" w:cs="Arial" w:eastAsia="Arial" w:hAnsi="Arial"/>
          <w:b/>
          <w:bCs/>
          <w:color w:val="1F3864"/>
          <w:sz w:val="28"/>
          <w:szCs w:val="28"/>
        </w:rPr>
        <w:t xml:space="preserve">3. OBJECTIVES</w:t>
      </w:r>
    </w:p>
    <w:p>
      <w:pPr>
        <w:spacing w:after="100" w:before="100"/>
        <w:jc w:val="both"/>
      </w:pPr>
      <w:r>
        <w:rPr>
          <w:rFonts w:ascii="Arial" w:cs="Arial" w:eastAsia="Arial" w:hAnsi="Arial"/>
          <w:sz w:val="20"/>
          <w:szCs w:val="20"/>
        </w:rPr>
        <w:t xml:space="preserve">The primary objective of this scoping review is to comprehensively map the published literature on palisading neutrophilic and granulomatous dermatitis and related entities, charting the full terminological, histopathological, and clinical-systemic spectrum from database inception to the date of search execution.</w:t>
      </w:r>
    </w:p>
    <w:p>
      <w:pPr>
        <w:spacing w:after="80" w:before="120"/>
      </w:pPr>
      <w:r>
        <w:rPr>
          <w:rFonts w:ascii="Arial" w:cs="Arial" w:eastAsia="Arial" w:hAnsi="Arial"/>
          <w:b/>
          <w:bCs/>
          <w:color w:val="2E75B6"/>
          <w:sz w:val="20"/>
          <w:szCs w:val="20"/>
        </w:rPr>
        <w:t xml:space="preserve">Specific objectives:</w:t>
      </w:r>
    </w:p>
    <w:p>
      <w:pPr>
        <w:pStyle w:val="ListParagraph"/>
        <w:numPr>
          <w:ilvl w:val="0"/>
          <w:numId w:val="2"/>
        </w:numPr>
        <w:spacing w:after="80" w:before="80"/>
        <w:jc w:val="both"/>
      </w:pPr>
      <w:r>
        <w:rPr>
          <w:rFonts w:ascii="Arial" w:cs="Arial" w:eastAsia="Arial" w:hAnsi="Arial"/>
          <w:sz w:val="20"/>
          <w:szCs w:val="20"/>
        </w:rPr>
        <w:t xml:space="preserve">To identify and catalogue all terminological designations used in the literature for cutaneous palisading neutrophilic and/or granulomatous reactions, and to map the chronological evolution of nomenclature from eponyms to descriptive morphological terms.</w:t>
      </w:r>
    </w:p>
    <w:p>
      <w:pPr>
        <w:pStyle w:val="ListParagraph"/>
        <w:numPr>
          <w:ilvl w:val="0"/>
          <w:numId w:val="2"/>
        </w:numPr>
        <w:spacing w:after="80" w:before="80"/>
        <w:jc w:val="both"/>
      </w:pPr>
      <w:r>
        <w:rPr>
          <w:rFonts w:ascii="Arial" w:cs="Arial" w:eastAsia="Arial" w:hAnsi="Arial"/>
          <w:sz w:val="20"/>
          <w:szCs w:val="20"/>
        </w:rPr>
        <w:t xml:space="preserve">To critically compare current terminological proposals, particularly Reactive Granulomatous Dermatitis (RGD), in light of the mapped histopathological and clinicopathological spectrum, and to assess whether the literature supports a unifying terminology.</w:t>
      </w:r>
    </w:p>
    <w:p>
      <w:pPr>
        <w:pStyle w:val="ListParagraph"/>
        <w:numPr>
          <w:ilvl w:val="0"/>
          <w:numId w:val="2"/>
        </w:numPr>
        <w:spacing w:after="80" w:before="80"/>
        <w:jc w:val="both"/>
      </w:pPr>
      <w:r>
        <w:rPr>
          <w:rFonts w:ascii="Arial" w:cs="Arial" w:eastAsia="Arial" w:hAnsi="Arial"/>
          <w:sz w:val="20"/>
          <w:szCs w:val="20"/>
        </w:rPr>
        <w:t xml:space="preserve">To map the histopathological criteria used to define each terminological entity and assess areas of overlap and divergence across the literature.</w:t>
      </w:r>
    </w:p>
    <w:p>
      <w:pPr>
        <w:pStyle w:val="ListParagraph"/>
        <w:numPr>
          <w:ilvl w:val="0"/>
          <w:numId w:val="2"/>
        </w:numPr>
        <w:spacing w:after="80" w:before="80"/>
        <w:jc w:val="both"/>
      </w:pPr>
      <w:r>
        <w:rPr>
          <w:rFonts w:ascii="Arial" w:cs="Arial" w:eastAsia="Arial" w:hAnsi="Arial"/>
          <w:sz w:val="20"/>
          <w:szCs w:val="20"/>
        </w:rPr>
        <w:t xml:space="preserve">To describe the spectrum of systemic diseases associated with these cutaneous patterns, including their frequency and temporal relationship to the onset of skin manifestations.</w:t>
      </w:r>
    </w:p>
    <w:p>
      <w:pPr>
        <w:pStyle w:val="ListParagraph"/>
        <w:numPr>
          <w:ilvl w:val="0"/>
          <w:numId w:val="2"/>
        </w:numPr>
        <w:spacing w:after="80" w:before="80"/>
        <w:jc w:val="both"/>
      </w:pPr>
      <w:r>
        <w:rPr>
          <w:rFonts w:ascii="Arial" w:cs="Arial" w:eastAsia="Arial" w:hAnsi="Arial"/>
          <w:sz w:val="20"/>
          <w:szCs w:val="20"/>
        </w:rPr>
        <w:t xml:space="preserve">To characterise the proposed pathogenetic mechanisms, particularly the role of immune complexes and leukocytoclastic vasculitis.</w:t>
      </w:r>
    </w:p>
    <w:p>
      <w:pPr>
        <w:pStyle w:val="ListParagraph"/>
        <w:numPr>
          <w:ilvl w:val="0"/>
          <w:numId w:val="2"/>
        </w:numPr>
        <w:spacing w:after="80" w:before="80"/>
        <w:jc w:val="both"/>
      </w:pPr>
      <w:r>
        <w:rPr>
          <w:rFonts w:ascii="Arial" w:cs="Arial" w:eastAsia="Arial" w:hAnsi="Arial"/>
          <w:sz w:val="20"/>
          <w:szCs w:val="20"/>
        </w:rPr>
        <w:t xml:space="preserve">To identify knowledge gaps in the literature that justify future primary research.</w:t>
      </w:r>
    </w:p>
    <w:p>
      <w:pPr>
        <w:spacing w:after="60" w:before="60"/>
      </w:pPr>
    </w:p>
    <w:p>
      <w:pPr>
        <w:spacing w:after="120" w:before="280"/>
      </w:pPr>
      <w:r>
        <w:rPr>
          <w:rFonts w:ascii="Arial" w:cs="Arial" w:eastAsia="Arial" w:hAnsi="Arial"/>
          <w:b/>
          <w:bCs/>
          <w:color w:val="1F3864"/>
          <w:sz w:val="28"/>
          <w:szCs w:val="28"/>
        </w:rPr>
        <w:t xml:space="preserve">4. ELIGIBILITY CRITERIA</w:t>
      </w:r>
    </w:p>
    <w:p>
      <w:pPr>
        <w:spacing w:after="100" w:before="100"/>
        <w:jc w:val="both"/>
      </w:pPr>
      <w:r>
        <w:rPr>
          <w:rFonts w:ascii="Arial" w:cs="Arial" w:eastAsia="Arial" w:hAnsi="Arial"/>
          <w:sz w:val="20"/>
          <w:szCs w:val="20"/>
        </w:rPr>
        <w:t xml:space="preserve">Inclusion and exclusion criteria were defined a priori in accordance with the PCC framework and the specific terminological heterogeneity of this field. Given the exploratory nature of a scoping review, multiple source types are eligible for inclusion. Notably, no start date restriction is applied: all years indexed in each database will be searched, from database inception to the date of search execution. Although the seminal histopathological description of the extravascular necrotizing granuloma pattern dates to Churg &amp; Strauss (1951), removing a formal date restriction ensures maximal inclusiveness and prevents inadvertent exclusion of earlier descriptive reports.</w:t>
      </w:r>
    </w:p>
    <w:p>
      <w:pPr>
        <w:spacing w:after="100" w:before="100"/>
        <w:jc w:val="both"/>
      </w:pPr>
      <w:r>
        <w:rPr>
          <w:rFonts w:ascii="Arial" w:cs="Arial" w:eastAsia="Arial" w:hAnsi="Arial"/>
          <w:sz w:val="20"/>
          <w:szCs w:val="20"/>
        </w:rPr>
        <w:t xml:space="preserve">No language restrictions will be applied at the search stage. Translation will be attempted whenever necessary; if adequate translation cannot be obtained, exclusion will be documented and reported transparently.</w:t>
      </w:r>
    </w:p>
    <w:p>
      <w:pPr>
        <w:spacing w:after="60" w:before="60"/>
      </w:pPr>
    </w:p>
    <w:tbl>
      <w:tblPr>
        <w:tblW w:type="dxa" w:w="9026"/>
      </w:tblPr>
      <w:tblGrid>
        <w:gridCol w:w="4513"/>
        <w:gridCol w:w="4513"/>
      </w:tblGrid>
      <w:tr>
        <w:tc>
          <w:tcPr>
            <w:tcW w:type="dxa" w:w="4513"/>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Inclusion criteria</w:t>
            </w:r>
          </w:p>
        </w:tc>
        <w:tc>
          <w:tcPr>
            <w:tcW w:type="dxa" w:w="4513"/>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Exclusion criteria</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Studies reporting cases of palisading neutrophilic and granulomatous dermatitis, interstitial granulomatous dermatitis, extravascular necrotizing granuloma (Churg-Strauss cutaneous granuloma), rheumatoid papules, reactive granulomatous dermatitis, Winkelmann granuloma, or any related terminological equivalent.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Granulomatous disorders of infectious etiology (tuberculosis, leprosy, fungal infections) without clinicopathological overlap with the palisading neutrophilic and granulomatous dermatitis/reactive granulomatous dermatitis spectrum.</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Primary sources such as case reports, case series, retrospective cohorts, and prospective studies. Narrative and systematic reviews will be eligible as secondary sources for conceptual and terminological mapping; however, clinical, histopathological, and systemic association data will preferentially be charted from primary sources whenever available, in order to avoid duplication of individual cases.</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Foreign body granulomas and sarcoidosis without clinicopathological overlap with the palisading neutrophilic and granulomatous dermatitis/reactive granulomatous dermatitis spectrum.</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No start date restriction: all years indexed in each database will be searched (database inception to the date of search execution).</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Systemic eosinophilic granulomatosis with polyangiitis (Churg-Strauss syndrome) without description of cutaneous palisading or necrotizing granulomatous lesions.</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Full-text retrieval will be attempted for all sources via institutional access, interlibrary loan, or direct author contact. Sources for which full text cannot be obtained will remain eligible and will be classified as abstract-only; data extraction will be limited to available fields, and these sources will contribute primarily to terminological and conceptual mapping.</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Palisading granulomatous dermatitides, including granuloma annulare and necrobiosis lipoidica, without clinicopathological overlap with the palisading neutrophilic and granulomatous dermatitis/reactive granulomatous dermatitis spectrum.</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Potentially eligible studies in any language, subject to direct assessment or feasible translation.</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
            </w:r>
          </w:p>
        </w:tc>
      </w:tr>
    </w:tbl>
    <w:p>
      <w:pPr>
        <w:spacing w:after="60" w:before="60"/>
      </w:pPr>
    </w:p>
    <w:p>
      <w:pPr>
        <w:spacing w:after="100" w:before="100"/>
        <w:jc w:val="both"/>
      </w:pPr>
      <w:r>
        <w:rPr>
          <w:rFonts w:ascii="Arial" w:cs="Arial" w:eastAsia="Arial" w:hAnsi="Arial"/>
          <w:sz w:val="20"/>
          <w:szCs w:val="20"/>
        </w:rPr>
        <w:t xml:space="preserve">For borderline records using uncommon, historical, or ambiguous terminology, inclusion will be considered when the report plausibly describes a cutaneous reactive pattern with clinicopathological features overlapping with the palisading neutrophilic and granulomatous dermatitis/reactive granulomatous dermatitis spectrum. Relevant features include, when reported, combinations of palisading inflammation, neutrophilic debris, collagen degeneration, and interstitial granulomatous inflammation. Final decisions for such records will be made by consensus between the two independent reviewers, with arbitration by the principal investigator when consensus cannot be reached.</w:t>
      </w:r>
    </w:p>
    <w:p>
      <w:pPr>
        <w:spacing w:after="100" w:before="100"/>
        <w:jc w:val="both"/>
      </w:pPr>
      <w:r>
        <w:rPr>
          <w:rFonts w:ascii="Arial" w:cs="Arial" w:eastAsia="Arial" w:hAnsi="Arial"/>
          <w:sz w:val="20"/>
          <w:szCs w:val="20"/>
        </w:rPr>
        <w:t xml:space="preserve">Included sources will be classified as primary or secondary evidence. Primary sources will constitute the main basis for charting clinicopathological and systemic association data, whereas secondary sources will be used primarily for conceptual, terminological, and historical contextualization.</w:t>
      </w:r>
    </w:p>
    <w:p>
      <w:pPr>
        <w:spacing w:after="120" w:before="280"/>
      </w:pPr>
      <w:r>
        <w:rPr>
          <w:rFonts w:ascii="Arial" w:cs="Arial" w:eastAsia="Arial" w:hAnsi="Arial"/>
          <w:b/>
          <w:bCs/>
          <w:color w:val="1F3864"/>
          <w:sz w:val="28"/>
          <w:szCs w:val="28"/>
        </w:rPr>
        <w:t xml:space="preserve">5. INFORMATION SOURCES AND SEARCH STRATEGY</w:t>
      </w:r>
    </w:p>
    <w:p>
      <w:pPr>
        <w:spacing w:after="80" w:before="200"/>
      </w:pPr>
      <w:r>
        <w:rPr>
          <w:rFonts w:ascii="Arial" w:cs="Arial" w:eastAsia="Arial" w:hAnsi="Arial"/>
          <w:b/>
          <w:bCs/>
          <w:color w:val="2E75B6"/>
          <w:sz w:val="22"/>
          <w:szCs w:val="22"/>
        </w:rPr>
        <w:t xml:space="preserve">5.1 Databases</w:t>
      </w:r>
    </w:p>
    <w:p>
      <w:pPr>
        <w:spacing w:after="100" w:before="100"/>
        <w:jc w:val="both"/>
      </w:pPr>
      <w:r>
        <w:rPr>
          <w:rFonts w:ascii="Arial" w:cs="Arial" w:eastAsia="Arial" w:hAnsi="Arial"/>
          <w:sz w:val="20"/>
          <w:szCs w:val="20"/>
        </w:rPr>
        <w:t xml:space="preserve">The following electronic databases will be searched without language or date restrictions:</w:t>
      </w:r>
    </w:p>
    <w:p>
      <w:pPr>
        <w:spacing w:after="60" w:before="60"/>
      </w:pPr>
    </w:p>
    <w:tbl>
      <w:tblPr>
        <w:tblW w:type="dxa" w:w="9026"/>
      </w:tblPr>
      <w:tblGrid>
        <w:gridCol w:w="2500"/>
        <w:gridCol w:w="4526"/>
        <w:gridCol w:w="2000"/>
      </w:tblGrid>
      <w:t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45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 / Platform</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PubMed/MEDLINE</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NLM — pubmed.ncbi.nlm.nih.gov</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1946 to present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Embase</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Elsevier — embase.com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1947 to present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Cochrane Library</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Wiley — cochranelibrary.com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1992 to present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Web of Science</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Clarivate — webofscience.com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1945 to present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Scopus</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Elsevier — scopus.com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1960 to present</w:t>
            </w:r>
          </w:p>
        </w:tc>
      </w:tr>
    </w:tbl>
    <w:p>
      <w:pPr>
        <w:spacing w:after="60" w:before="60"/>
      </w:pPr>
    </w:p>
    <w:p>
      <w:pPr>
        <w:spacing w:after="100" w:before="100"/>
        <w:jc w:val="both"/>
      </w:pPr>
      <w:r>
        <w:rPr>
          <w:rFonts w:ascii="Arial" w:cs="Arial" w:eastAsia="Arial" w:hAnsi="Arial"/>
          <w:sz w:val="20"/>
          <w:szCs w:val="20"/>
        </w:rPr>
        <w:t xml:space="preserve">The search strategy will follow the JBI three-step approach: (1) an initial limited search of selected databases to identify relevant keywords and index terms; (2) a comprehensive search across all included databases using the refined strategy; and (3) screening of reference lists of included sources, supplemented by forward citation tracking and limited gray literature searching.</w:t>
      </w:r>
    </w:p>
    <w:p>
      <w:pPr>
        <w:spacing w:after="100" w:before="100"/>
        <w:jc w:val="both"/>
      </w:pPr>
      <w:r>
        <w:rPr>
          <w:rFonts w:ascii="Arial" w:cs="Arial" w:eastAsia="Arial" w:hAnsi="Arial"/>
          <w:sz w:val="20"/>
          <w:szCs w:val="20"/>
        </w:rPr>
        <w:t xml:space="preserve">To enhance comprehensiveness, gray literature sources will also be explored in a limited and structured manner, including Google Scholar screening, manual search of key dermatopathology references, and targeted searches for unavailable full texts or historically relevant reports.</w:t>
      </w:r>
    </w:p>
    <w:p>
      <w:pPr>
        <w:spacing w:after="100" w:before="100"/>
        <w:jc w:val="both"/>
      </w:pPr>
      <w:r>
        <w:rPr>
          <w:rFonts w:ascii="Arial" w:cs="Arial" w:eastAsia="Arial" w:hAnsi="Arial"/>
          <w:sz w:val="20"/>
          <w:szCs w:val="20"/>
        </w:rPr>
        <w:t xml:space="preserve">Prior to the elaboration of this protocol, a set of 33 articles was identified through exploratory searches and reference tracking conducted by the research team. These records were assembled with the exclusive purpose of informing the development of the search strategy and the data extraction instrument, and do not constitute a pre-selected inclusion set. All 33 articles will be subject to the same eligibility assessment applied to all sources retrieved through the formal search process.</w:t>
      </w:r>
    </w:p>
    <w:p>
      <w:pPr>
        <w:spacing w:after="80" w:before="200"/>
      </w:pPr>
      <w:r>
        <w:rPr>
          <w:rFonts w:ascii="Arial" w:cs="Arial" w:eastAsia="Arial" w:hAnsi="Arial"/>
          <w:b/>
          <w:bCs/>
          <w:color w:val="2E75B6"/>
          <w:sz w:val="22"/>
          <w:szCs w:val="22"/>
        </w:rPr>
        <w:t xml:space="preserve">5.2 Search String — PubMed/MEDLINE (Preliminary)</w:t>
      </w:r>
    </w:p>
    <w:p>
      <w:pPr>
        <w:spacing w:after="100" w:before="100"/>
        <w:jc w:val="both"/>
      </w:pPr>
      <w:r>
        <w:rPr>
          <w:rFonts w:ascii="Arial" w:cs="Arial" w:eastAsia="Arial" w:hAnsi="Arial"/>
          <w:sz w:val="20"/>
          <w:szCs w:val="20"/>
        </w:rPr>
        <w:t xml:space="preserve">The following preliminary search string has been developed for PubMed. Equivalent strings will be adapted for each database using platform-specific controlled vocabulary (MeSH for PubMed, Emtree for Embase) prior to the definitive search:</w:t>
      </w:r>
    </w:p>
    <w:p>
      <w:pPr>
        <w:spacing w:after="60" w:before="60"/>
      </w:pPr>
    </w:p>
    <w:p>
      <w:pPr>
        <w:pBdr>
          <w:top w:val="single" w:color="AAAAAA" w:sz="4"/>
          <w:left w:val="single" w:color="AAAAAA" w:sz="4"/>
          <w:bottom w:val="single" w:color="AAAAAA" w:sz="4"/>
          <w:right w:val="single" w:color="AAAAAA" w:sz="4"/>
        </w:pBdr>
        <w:shd w:fill="F5F5F5" w:val="clear"/>
        <w:spacing w:after="80" w:before="80"/>
      </w:pPr>
      <w:r>
        <w:rPr>
          <w:rFonts w:ascii="Courier New" w:cs="Courier New" w:eastAsia="Courier New" w:hAnsi="Courier New"/>
          <w:sz w:val="18"/>
          <w:szCs w:val="18"/>
        </w:rPr>
        <w:t xml:space="preserve">("palisading neutrophilic granulomatous dermatitis"[tiab] OR "palisaded neutrophilic granulomatous dermatitis"[tiab] OR "palisaded neutrophilic and granulomatous dermatitis"[tiab] OR "palisaded neutrophilic"[tiab] OR "interstitial granulomatous dermatitis"[tiab] OR "palisading neutrophilic dermatitis"[tiab] OR "extravascular necrotizing granuloma"[tiab] OR "Churg-Strauss granuloma"[tiab] OR "reactive granulomatous dermatitis"[tiab] OR "Winkelmann granuloma"[tiab] OR "rheumatoid papules"[tiab] OR "palisading granuloma"[tiab] OR "interstitial granuloma"[tiab] OR "dermatite granulomatosa reativa"[tiab] OR "allergic granulomatosis"[tiab]) AND (skin[tiab] OR cutaneous[tiab] OR dermat*[tiab] OR papul*[tiab] OR nodule*[tiab] OR subcutaneous[tiab])</w:t>
      </w:r>
    </w:p>
    <w:p>
      <w:pPr>
        <w:spacing w:after="60" w:before="60"/>
      </w:pPr>
    </w:p>
    <w:p>
      <w:pPr>
        <w:spacing w:after="100" w:before="100"/>
        <w:jc w:val="both"/>
      </w:pPr>
      <w:r>
        <w:rPr>
          <w:rFonts w:ascii="Arial" w:cs="Arial" w:eastAsia="Arial" w:hAnsi="Arial"/>
          <w:sz w:val="20"/>
          <w:szCs w:val="20"/>
        </w:rPr>
        <w:t xml:space="preserve">This preliminary string will be refined prior to the definitive search. The final validated string for each database will be documented in the supplementary material of the published article.</w:t>
      </w:r>
    </w:p>
    <w:p>
      <w:pPr>
        <w:spacing w:after="80" w:before="200"/>
      </w:pPr>
      <w:r>
        <w:rPr>
          <w:rFonts w:ascii="Arial" w:cs="Arial" w:eastAsia="Arial" w:hAnsi="Arial"/>
          <w:b/>
          <w:bCs/>
          <w:color w:val="2E75B6"/>
          <w:sz w:val="22"/>
          <w:szCs w:val="22"/>
        </w:rPr>
        <w:t xml:space="preserve">5.3 Systematic Search Procedure — Step-by-Step</w:t>
      </w:r>
    </w:p>
    <w:p>
      <w:pPr>
        <w:spacing w:after="60" w:before="60"/>
      </w:pPr>
    </w:p>
    <w:tbl>
      <w:tblPr>
        <w:tblW w:type="dxa" w:w="9026"/>
      </w:tblPr>
      <w:tblGrid>
        <w:gridCol w:w="2200"/>
        <w:gridCol w:w="2500"/>
        <w:gridCol w:w="4326"/>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1 — Pre-search preparation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1. Validate and adapt search strings for each database</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Adapt the PubMed string to each database using platform-specific controlled vocabulary. The final strategy will be documented and reported in the supplementary material of the published article.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1 — Pre-search preparation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2. Calibrate strings against the 33-article pilot set</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The 33-article pilot set was assembled during preliminary exploratory searches and expert-led reference tracking conducted prior to protocol finalization. This set will be used exclusively as a calibration benchmark to improve search sensitivity and not as an automatic inclusion set. All pilot records will remain subject to the same eligibility assessment applied to all retrieved sources.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1 — Pre-search preparation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3. Register the protocol on OSF</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Register at osf.io prior to running any definitive search. The registration date should precede the search execution date in order to enhance methodological transparency and credibility.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1 — Pre-search preparation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4. Configure Rayyan and train the team</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Create the project in Rayyan, assign reviewer roles, and run a blinded pilot on 20–30 records to align interpretation of inclusion/exclusion criteria before definitive screening.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2 — Search execution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5. Run all database searches within a 48-hour window</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Execute searches in all databases on the same date or within 48 hours. Document for each database the exact date, final string used, and total number of records retrieved.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2 — Search execution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6. Export and centralise results</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Export all results in RIS or BibTeX format to a reference manager (Zotero recommended) and then import into Rayyan for deduplication and screening.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3 — Deduplication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7. Deduplicate and document</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Run automatic deduplication in Rayyan followed by manual review of flagged records. Record the total number of duplicates removed for the PRISMA-ScR flowchart.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4 — Screening</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8. Stage 1 — Title and abstract screening</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R.D.M. and C.R. will screen independently and in blinded fashion in Rayyan. Disagreements will be resolved by consensus, with arbitration by T.J. if needed.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4 — Screening</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9. Stage 2 — Full-text review or abstract-level assessment</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Full texts of all stage 1-eligible articles will be independently reviewed by R.D.M. and C.R. For abstract-only sources, a structured abstract-level assessment will be conducted. Each exclusion at this stage will be documented with an explicit reason.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5 — Supplementary searches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10. Backward citation tracking</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Manually screen the reference lists of included full-text articles to identify additional eligible studies not captured by database searching.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5 — Supplementary searches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11. Forward citation tracking</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Use Google Scholar to identify articles citing included studies, particularly recent publications with limited indexing at the time of the search.</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5 — Supplementary searches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12. Hand-search of key journals</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Manually search tables of contents of key dermatopathology journals for decades with weaker electronic indexing.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Phase 6 — Final reconciliation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Step 13. Integrate the 33 pilot articles</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Verify which preliminary articles were captured by formal searches and supplementary steps. Any not retrieved through formal searching will be recorded transparently as identified through other sources.</w:t>
            </w:r>
          </w:p>
        </w:tc>
      </w:tr>
    </w:tbl>
    <w:p>
      <w:pPr>
        <w:spacing w:after="60" w:before="60"/>
      </w:pPr>
    </w:p>
    <w:p>
      <w:pPr>
        <w:spacing w:after="120" w:before="280"/>
      </w:pPr>
      <w:r>
        <w:rPr>
          <w:rFonts w:ascii="Arial" w:cs="Arial" w:eastAsia="Arial" w:hAnsi="Arial"/>
          <w:b/>
          <w:bCs/>
          <w:color w:val="1F3864"/>
          <w:sz w:val="28"/>
          <w:szCs w:val="28"/>
        </w:rPr>
        <w:t xml:space="preserve">6. STUDY SELECTION PROCESS</w:t>
      </w:r>
    </w:p>
    <w:p>
      <w:pPr>
        <w:spacing w:after="100" w:before="100"/>
        <w:jc w:val="both"/>
      </w:pPr>
      <w:r>
        <w:rPr>
          <w:rFonts w:ascii="Arial" w:cs="Arial" w:eastAsia="Arial" w:hAnsi="Arial"/>
          <w:sz w:val="20"/>
          <w:szCs w:val="20"/>
        </w:rPr>
        <w:t xml:space="preserve">Source selection will occur in two stages: (1) title and abstract screening and (2) full-text assessment for sources with available full text, or structured abstract-level assessment for abstract-only sources. Reasons for exclusion at the full-text stage will be recorded and reported in the final review. Disagreements will be resolved by consensus, with involvement of a senior reviewer when necessary.</w:t>
      </w:r>
    </w:p>
    <w:p>
      <w:pPr>
        <w:spacing w:after="100" w:before="100"/>
        <w:jc w:val="both"/>
      </w:pPr>
      <w:r>
        <w:rPr>
          <w:rFonts w:ascii="Arial" w:cs="Arial" w:eastAsia="Arial" w:hAnsi="Arial"/>
          <w:sz w:val="20"/>
          <w:szCs w:val="20"/>
        </w:rPr>
        <w:t xml:space="preserve">Full-text retrieval will be attempted for all included sources via institutional access, interlibrary loan, or direct author contact. Sources remaining unavailable after these steps will be retained as abstract-only and classified accordingly.</w:t>
      </w:r>
    </w:p>
    <w:p>
      <w:pPr>
        <w:spacing w:after="120" w:before="280"/>
      </w:pPr>
      <w:r>
        <w:rPr>
          <w:rFonts w:ascii="Arial" w:cs="Arial" w:eastAsia="Arial" w:hAnsi="Arial"/>
          <w:b/>
          <w:bCs/>
          <w:color w:val="1F3864"/>
          <w:sz w:val="28"/>
          <w:szCs w:val="28"/>
        </w:rPr>
        <w:t xml:space="preserve">7. DATA EXTRACTION (CHARTING)</w:t>
      </w:r>
    </w:p>
    <w:p>
      <w:pPr>
        <w:spacing w:after="100" w:before="100"/>
        <w:jc w:val="both"/>
      </w:pPr>
      <w:r>
        <w:rPr>
          <w:rFonts w:ascii="Arial" w:cs="Arial" w:eastAsia="Arial" w:hAnsi="Arial"/>
          <w:sz w:val="20"/>
          <w:szCs w:val="20"/>
        </w:rPr>
        <w:t xml:space="preserve">Data will be extracted from included studies using a standardized charting form developed a priori based on the JBI data extraction template for scoping reviews and calibrated using the 33-article pilot dataset processed by the research team. The form will be piloted on a random sample of five articles before definitive extraction.</w:t>
      </w:r>
    </w:p>
    <w:p>
      <w:pPr>
        <w:spacing w:after="100" w:before="100"/>
        <w:jc w:val="both"/>
      </w:pPr>
      <w:r>
        <w:rPr>
          <w:rFonts w:ascii="Arial" w:cs="Arial" w:eastAsia="Arial" w:hAnsi="Arial"/>
          <w:sz w:val="20"/>
          <w:szCs w:val="20"/>
        </w:rPr>
        <w:t xml:space="preserve">An exploratory reviewer-applied histopathological pattern classification will be used, when feasible, to organize the mapped spectrum into neutrophilic-predominant, granulomatous-predominant, and mixed/fibrosing patterns. This analytical framework is intended solely to facilitate synthesis of heterogeneous descriptions in the literature and should not be interpreted as a validated nosologic classification.</w:t>
      </w:r>
    </w:p>
    <w:p>
      <w:pPr>
        <w:spacing w:after="100" w:before="100"/>
        <w:jc w:val="both"/>
      </w:pPr>
      <w:r>
        <w:rPr>
          <w:rFonts w:ascii="Arial" w:cs="Arial" w:eastAsia="Arial" w:hAnsi="Arial"/>
          <w:sz w:val="20"/>
          <w:szCs w:val="20"/>
        </w:rPr>
        <w:t xml:space="preserve">For abstract-only sources, data extraction will be limited to available fields — primarily citation, terminology used, study design, sample size, and systemic associations when reported. Histopathological fields will be left blank where information is unavailable. Abstract-only sources will be classified separately in the synthesis and will not contribute to histopathological pattern analysis.</w:t>
      </w:r>
    </w:p>
    <w:p>
      <w:pPr>
        <w:spacing w:after="60" w:before="60"/>
      </w:pPr>
    </w:p>
    <w:tbl>
      <w:tblPr>
        <w:tblW w:type="dxa" w:w="9026"/>
      </w:tblPr>
      <w:tblGrid>
        <w:gridCol w:w="2500"/>
        <w:gridCol w:w="6526"/>
      </w:tblGrid>
      <w:t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 Variables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 Citation</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Author(s), year, title, journal, volume, pages, DOI.</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2. Terminology Used</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Exact term(s) employed by the authors to describe the condition.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3. Study Design</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Case report, case series, retrospective cohort, prospective study, review, or other.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4. Sample Size</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Number of patients and/or lesions reported.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5. Clinical Features</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Morphology, distribution, size, color, surface characteristics, and associated symptoms.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6. Histopathological Findings</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Predominant pattern; neutrophilic component; collagen degeneration type; flame figures; presence or absence of leukocytoclastic vasculitis; vascular changes.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7. Histopathological Pattern Classification</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Exploratory reviewer-applied categorization into neutrophilic-predominant, granulomatous-predominant, or mixed/fibrosing patterns, when feasible.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8. Systemic Associations</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Underlying disease(s): autoimmune/connective tissue disease, vasculitis, lymphoproliferative disorder, inflammatory bowel disease, infection, drug, or other.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9. Diagnostic Workup</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Laboratory findings, imaging, and pathological criteria used for diagnosis.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10. Treatment and Outcome</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Therapeutic interventions reported; response; follow-up duration.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11. Authors’ Conceptual Position</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Stance on nosology; proposed unifying terminology; remarks on pathogenesis.</w:t>
            </w:r>
          </w:p>
        </w:tc>
      </w:tr>
    </w:tbl>
    <w:p>
      <w:pPr>
        <w:spacing w:after="60" w:before="60"/>
      </w:pPr>
    </w:p>
    <w:p>
      <w:pPr>
        <w:spacing w:after="100" w:before="100"/>
        <w:jc w:val="both"/>
      </w:pPr>
      <w:r>
        <w:rPr>
          <w:rFonts w:ascii="Arial" w:cs="Arial" w:eastAsia="Arial" w:hAnsi="Arial"/>
          <w:sz w:val="20"/>
          <w:szCs w:val="20"/>
        </w:rPr>
        <w:t xml:space="preserve">In accordance with JBI recommendations, data charting will be conducted independently and in duplicate by two reviewers (R.D.M. and C.R.) using a standardized extraction form. After independent extraction, the two records will be compared field by field. Discrepancies will be resolved by consensus discussion between the two extractors. Any disagreements that cannot be resolved by consensus will be submitted to arbitration by the senior reviewer (T.J.). This duplicate extraction process applies to all charting fields.</w:t>
      </w:r>
    </w:p>
    <w:p>
      <w:pPr>
        <w:spacing w:after="120" w:before="280"/>
      </w:pPr>
      <w:r>
        <w:rPr>
          <w:rFonts w:ascii="Arial" w:cs="Arial" w:eastAsia="Arial" w:hAnsi="Arial"/>
          <w:b/>
          <w:bCs/>
          <w:color w:val="1F3864"/>
          <w:sz w:val="28"/>
          <w:szCs w:val="28"/>
        </w:rPr>
        <w:t xml:space="preserve">7b. CRITICAL APPRAISAL OF INDIVIDUAL SOURCES</w:t>
      </w:r>
    </w:p>
    <w:p>
      <w:pPr>
        <w:spacing w:after="100" w:before="100"/>
        <w:jc w:val="both"/>
      </w:pPr>
      <w:r>
        <w:rPr>
          <w:rFonts w:ascii="Arial" w:cs="Arial" w:eastAsia="Arial" w:hAnsi="Arial"/>
          <w:sz w:val="20"/>
          <w:szCs w:val="20"/>
        </w:rPr>
        <w:t xml:space="preserve">In accordance with JBI guidance for scoping reviews and as required by item 12 of the PRISMA-ScR checklist, formal critical appraisal of the methodological quality of included sources will not be performed. The rationale for this decision is consistent with the inherent purpose of a scoping review: to map the available literature and characterise the breadth of evidence, regardless of individual study quality. Excluding sources based on methodological quality would risk introducing selection bias and would undermine the comprehensiveness that defines this review type. All included sources will therefore be eligible for data charting irrespective of their design or quality.</w:t>
      </w:r>
    </w:p>
    <w:p>
      <w:pPr>
        <w:spacing w:after="120" w:before="280"/>
      </w:pPr>
      <w:r>
        <w:rPr>
          <w:rFonts w:ascii="Arial" w:cs="Arial" w:eastAsia="Arial" w:hAnsi="Arial"/>
          <w:b/>
          <w:bCs/>
          <w:color w:val="1F3864"/>
          <w:sz w:val="28"/>
          <w:szCs w:val="28"/>
        </w:rPr>
        <w:t xml:space="preserve">8. DATA SYNTHESIS AND PRESENTATION</w:t>
      </w:r>
    </w:p>
    <w:p>
      <w:pPr>
        <w:spacing w:after="100" w:before="100"/>
        <w:jc w:val="both"/>
      </w:pPr>
      <w:r>
        <w:rPr>
          <w:rFonts w:ascii="Arial" w:cs="Arial" w:eastAsia="Arial" w:hAnsi="Arial"/>
          <w:sz w:val="20"/>
          <w:szCs w:val="20"/>
        </w:rPr>
        <w:t xml:space="preserve">Given the inherently descriptive and mapping nature of this scoping review, a narrative synthesis will be employed.</w:t>
      </w:r>
    </w:p>
    <w:p>
      <w:pPr>
        <w:spacing w:after="100" w:before="100"/>
        <w:jc w:val="both"/>
      </w:pPr>
      <w:r>
        <w:rPr>
          <w:rFonts w:ascii="Arial" w:cs="Arial" w:eastAsia="Arial" w:hAnsi="Arial"/>
          <w:sz w:val="20"/>
          <w:szCs w:val="20"/>
        </w:rPr>
        <w:t xml:space="preserve">Any quantitative summaries (e.g., frequencies or proportions of reported systemic associations, histopathological patterns, or terminology use) will be purely descriptive of the included literature and will not be interpreted as epidemiologic estimates of prevalence, incidence, or risk.</w:t>
      </w:r>
    </w:p>
    <w:p>
      <w:pPr>
        <w:spacing w:after="100" w:before="100"/>
        <w:jc w:val="both"/>
      </w:pPr>
      <w:r>
        <w:rPr>
          <w:rFonts w:ascii="Arial" w:cs="Arial" w:eastAsia="Arial" w:hAnsi="Arial"/>
          <w:sz w:val="20"/>
          <w:szCs w:val="20"/>
        </w:rPr>
        <w:t xml:space="preserve">Results will be presented through a combination of descriptive tables, frequency summaries, and narrative synthesis, organized into the following domains: (1) terminology and historical evolution of nomenclature; (2) histopathological patterns and areas of overlap; (3) reported systemic associations; and (4) conceptual frameworks proposed by the literature.</w:t>
      </w:r>
    </w:p>
    <w:p>
      <w:pPr>
        <w:spacing w:after="100" w:before="100"/>
        <w:jc w:val="both"/>
      </w:pPr>
      <w:r>
        <w:rPr>
          <w:rFonts w:ascii="Arial" w:cs="Arial" w:eastAsia="Arial" w:hAnsi="Arial"/>
          <w:sz w:val="20"/>
          <w:szCs w:val="20"/>
        </w:rPr>
        <w:t xml:space="preserve">Findings will also address proposed pathogenetic mechanisms and identified knowledge gaps and unresolved questions warranting future primary research.</w:t>
      </w:r>
    </w:p>
    <w:p>
      <w:pPr>
        <w:spacing w:after="100" w:before="100"/>
        <w:jc w:val="both"/>
      </w:pPr>
      <w:r>
        <w:rPr>
          <w:rFonts w:ascii="Arial" w:cs="Arial" w:eastAsia="Arial" w:hAnsi="Arial"/>
          <w:sz w:val="20"/>
          <w:szCs w:val="20"/>
        </w:rPr>
        <w:t xml:space="preserve">Results will be presented using narrative text, summary tables, and a PRISMA-ScR flowchart documenting the study selection process. A timeline figure illustrating the conceptual evolution of the terminology may be included as part of the discussion.</w:t>
      </w:r>
    </w:p>
    <w:p>
      <w:pPr>
        <w:spacing w:after="120" w:before="280"/>
      </w:pPr>
      <w:r>
        <w:rPr>
          <w:rFonts w:ascii="Arial" w:cs="Arial" w:eastAsia="Arial" w:hAnsi="Arial"/>
          <w:b/>
          <w:bCs/>
          <w:color w:val="1F3864"/>
          <w:sz w:val="28"/>
          <w:szCs w:val="28"/>
        </w:rPr>
        <w:t xml:space="preserve">9. TEAM COMPOSITION AND ROLES</w:t>
      </w:r>
    </w:p>
    <w:p>
      <w:pPr>
        <w:spacing w:after="60" w:before="60"/>
      </w:pPr>
    </w:p>
    <w:tbl>
      <w:tblPr>
        <w:tblW w:type="dxa" w:w="9026"/>
      </w:tblPr>
      <w:tblGrid>
        <w:gridCol w:w="2500"/>
        <w:gridCol w:w="2500"/>
        <w:gridCol w:w="4026"/>
      </w:tblGrid>
      <w:t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Thiago Jeunon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Principal Investigator / Supervisor</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Protocol design; final arbitration of discordances; manuscript review and approval.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Rafael de Deus Moura</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First Author / Lead Reviewer</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Protocol drafting; independent screening; full-text review; data charting; manuscript writing.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Carla Riama L. P. Moura</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Second Independent Reviewer</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Independent screening; full-text review; resolution of discordances; clinical context validation.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Eric A. L. de Barros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Research Assistant</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Database searching; reference management; duplicate removal; data entry support.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Caio V. C. B. Soares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Research Assistant</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Database searching; data extraction support; table formatting; PRISMA flowchart preparation.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Carlos E. F. Nunes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Research Assistant</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sz w:val="20"/>
                <w:szCs w:val="20"/>
              </w:rPr>
              <w:t xml:space="preserve">Full-text retrieval; reference verification; bibliography management; quality control support.</w:t>
            </w:r>
          </w:p>
        </w:tc>
      </w:tr>
    </w:tbl>
    <w:p>
      <w:pPr>
        <w:spacing w:after="60" w:before="60"/>
      </w:pPr>
    </w:p>
    <w:p>
      <w:pPr>
        <w:spacing w:after="120" w:before="280"/>
      </w:pPr>
      <w:r>
        <w:rPr>
          <w:rFonts w:ascii="Arial" w:cs="Arial" w:eastAsia="Arial" w:hAnsi="Arial"/>
          <w:b/>
          <w:bCs/>
          <w:color w:val="1F3864"/>
          <w:sz w:val="28"/>
          <w:szCs w:val="28"/>
        </w:rPr>
        <w:t xml:space="preserve">10. REGISTRATION AND REPORTING</w:t>
      </w:r>
    </w:p>
    <w:p>
      <w:pPr>
        <w:spacing w:after="100" w:before="100"/>
        <w:jc w:val="both"/>
      </w:pPr>
      <w:r>
        <w:rPr>
          <w:rFonts w:ascii="Arial" w:cs="Arial" w:eastAsia="Arial" w:hAnsi="Arial"/>
          <w:sz w:val="20"/>
          <w:szCs w:val="20"/>
        </w:rPr>
        <w:t xml:space="preserve">This protocol will be registered on the Open Science Framework (OSF — osf.io) prior to initiation of the definitive search, in accordance with current best practices for scoping reviews.</w:t>
      </w:r>
    </w:p>
    <w:p>
      <w:pPr>
        <w:spacing w:after="100" w:before="100"/>
        <w:jc w:val="both"/>
      </w:pPr>
      <w:r>
        <w:rPr>
          <w:rFonts w:ascii="Arial" w:cs="Arial" w:eastAsia="Arial" w:hAnsi="Arial"/>
          <w:sz w:val="20"/>
          <w:szCs w:val="20"/>
        </w:rPr>
        <w:t xml:space="preserve">The review will be reported following the PRISMA Extension for Scoping Reviews (PRISMA-ScR) checklist and the JBI Manual for Evidence Synthesis.</w:t>
      </w:r>
    </w:p>
    <w:p>
      <w:pPr>
        <w:spacing w:after="100" w:before="100"/>
        <w:jc w:val="both"/>
      </w:pPr>
      <w:r>
        <w:rPr>
          <w:rFonts w:ascii="Arial" w:cs="Arial" w:eastAsia="Arial" w:hAnsi="Arial"/>
          <w:sz w:val="20"/>
          <w:szCs w:val="20"/>
        </w:rPr>
        <w:t xml:space="preserve">Any amendments made after OSF registration will be clearly documented, dated, and justified in the final scoping review report.</w:t>
      </w:r>
    </w:p>
    <w:p>
      <w:pPr>
        <w:spacing w:after="100" w:before="100"/>
        <w:jc w:val="both"/>
      </w:pPr>
      <w:r>
        <w:rPr>
          <w:rFonts w:ascii="Arial" w:cs="Arial" w:eastAsia="Arial" w:hAnsi="Arial"/>
          <w:sz w:val="20"/>
          <w:szCs w:val="20"/>
        </w:rPr>
        <w:t xml:space="preserve">As this is a scoping review of previously published data, ethics committee approval is not required.</w:t>
      </w:r>
    </w:p>
    <w:p>
      <w:pPr>
        <w:spacing w:after="120" w:before="280"/>
      </w:pPr>
      <w:r>
        <w:rPr>
          <w:rFonts w:ascii="Arial" w:cs="Arial" w:eastAsia="Arial" w:hAnsi="Arial"/>
          <w:b/>
          <w:bCs/>
          <w:color w:val="1F3864"/>
          <w:sz w:val="28"/>
          <w:szCs w:val="28"/>
        </w:rPr>
        <w:t xml:space="preserve">11. CONFLICTS OF INTEREST</w:t>
      </w:r>
    </w:p>
    <w:p>
      <w:pPr>
        <w:spacing w:after="100" w:before="100"/>
        <w:jc w:val="both"/>
      </w:pPr>
      <w:r>
        <w:rPr>
          <w:rFonts w:ascii="Arial" w:cs="Arial" w:eastAsia="Arial" w:hAnsi="Arial"/>
          <w:sz w:val="20"/>
          <w:szCs w:val="20"/>
        </w:rPr>
        <w:t xml:space="preserve">The authors declare no conflicts of interest. This research received no external funding. Artificial intelligence (AI) language models were consulted during the preparation of this protocol to support editorial refinement and structural organization. All intellectual content, methodological decisions, and final editorial choices were made exclusively by the authors, who take full responsibility for the accuracy and integrity of this work.</w:t>
      </w:r>
    </w:p>
    <w:p>
      <w:pPr>
        <w:spacing w:after="120" w:before="280"/>
      </w:pPr>
      <w:r>
        <w:rPr>
          <w:rFonts w:ascii="Arial" w:cs="Arial" w:eastAsia="Arial" w:hAnsi="Arial"/>
          <w:b/>
          <w:bCs/>
          <w:color w:val="1F3864"/>
          <w:sz w:val="28"/>
          <w:szCs w:val="28"/>
        </w:rPr>
        <w:t xml:space="preserve">12. KEY REFERENCES</w:t>
      </w:r>
    </w:p>
    <w:p>
      <w:pPr>
        <w:pStyle w:val="ListParagraph"/>
        <w:numPr>
          <w:ilvl w:val="0"/>
          <w:numId w:val="2"/>
        </w:numPr>
        <w:spacing w:after="80" w:before="80"/>
        <w:jc w:val="both"/>
      </w:pPr>
      <w:r>
        <w:rPr>
          <w:rFonts w:ascii="Arial" w:cs="Arial" w:eastAsia="Arial" w:hAnsi="Arial"/>
          <w:sz w:val="20"/>
          <w:szCs w:val="20"/>
        </w:rPr>
        <w:t xml:space="preserve">Churg J, Strauss L. Allergic granulomatosis, allergic angiitis, and periarteritis nodosa. Am J Pathol. 1951;27(2):277–301.</w:t>
      </w:r>
    </w:p>
    <w:p>
      <w:pPr>
        <w:pStyle w:val="ListParagraph"/>
        <w:numPr>
          <w:ilvl w:val="0"/>
          <w:numId w:val="2"/>
        </w:numPr>
        <w:spacing w:after="80" w:before="80"/>
        <w:jc w:val="both"/>
      </w:pPr>
      <w:r>
        <w:rPr>
          <w:rFonts w:ascii="Arial" w:cs="Arial" w:eastAsia="Arial" w:hAnsi="Arial"/>
          <w:sz w:val="20"/>
          <w:szCs w:val="20"/>
        </w:rPr>
        <w:t xml:space="preserve">Chu P, Connolly MK, LeBoit PE. The histopathologic spectrum of palisaded neutrophilic and granulomatous dermatitis in patients with collagen vascular disease. Arch Dermatol. 1994;130(10):1278–1283.</w:t>
      </w:r>
    </w:p>
    <w:p>
      <w:pPr>
        <w:pStyle w:val="ListParagraph"/>
        <w:numPr>
          <w:ilvl w:val="0"/>
          <w:numId w:val="2"/>
        </w:numPr>
        <w:spacing w:after="80" w:before="80"/>
        <w:jc w:val="both"/>
      </w:pPr>
      <w:r>
        <w:rPr>
          <w:rFonts w:ascii="Arial" w:cs="Arial" w:eastAsia="Arial" w:hAnsi="Arial"/>
          <w:sz w:val="20"/>
          <w:szCs w:val="20"/>
        </w:rPr>
        <w:t xml:space="preserve">Rosenbach M, English JC 3rd. Reactive granulomatous dermatitis: a review of palisaded neutrophilic and granulomatous dermatitis, interstitial granulomatous dermatitis, interstitial granulomatous drug reaction, and a proposed reclassification. Dermatol Clin. 2015;33(3):373–387.</w:t>
      </w:r>
    </w:p>
    <w:p>
      <w:pPr>
        <w:pStyle w:val="ListParagraph"/>
        <w:numPr>
          <w:ilvl w:val="0"/>
          <w:numId w:val="2"/>
        </w:numPr>
        <w:spacing w:after="80" w:before="80"/>
        <w:jc w:val="both"/>
      </w:pPr>
      <w:r>
        <w:rPr>
          <w:rFonts w:ascii="Arial" w:cs="Arial" w:eastAsia="Arial" w:hAnsi="Arial"/>
          <w:sz w:val="20"/>
          <w:szCs w:val="20"/>
        </w:rPr>
        <w:t xml:space="preserve">Tricco AC, Lillie E, Zarin W, et al. PRISMA Extension for Scoping Reviews (PRISMA-ScR): checklist and explanation. Ann Intern Med. 2018;169(7):467–473.</w:t>
      </w:r>
    </w:p>
    <w:p>
      <w:pPr>
        <w:pStyle w:val="ListParagraph"/>
        <w:numPr>
          <w:ilvl w:val="0"/>
          <w:numId w:val="2"/>
        </w:numPr>
        <w:spacing w:after="80" w:before="80"/>
        <w:jc w:val="both"/>
      </w:pPr>
      <w:r>
        <w:rPr>
          <w:rFonts w:ascii="Arial" w:cs="Arial" w:eastAsia="Arial" w:hAnsi="Arial"/>
          <w:sz w:val="20"/>
          <w:szCs w:val="20"/>
        </w:rPr>
        <w:t xml:space="preserve">Peters MDJ, Godfrey C, McInerney P, et al. Scoping reviews. In: JBI Manual for Evidence Synthesis. JBI; 2024.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6"/>
        <w:szCs w:val="16"/>
      </w:rPr>
      <w:t xml:space="preserve">Final protocol draft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888888"/>
        <w:sz w:val="16"/>
        <w:szCs w:val="16"/>
      </w:rPr>
      <w:t xml:space="preserve">PNGD Scoping Review Protocol — Final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2026-05-01T15:17:50.694Z</dcterms:created>
  <dcterms:modified xsi:type="dcterms:W3CDTF">2026-05-01T15:17:50.695Z</dcterms:modified>
</cp:coreProperties>
</file>

<file path=docProps/custom.xml><?xml version="1.0" encoding="utf-8"?>
<Properties xmlns="http://schemas.openxmlformats.org/officeDocument/2006/custom-properties" xmlns:vt="http://schemas.openxmlformats.org/officeDocument/2006/docPropsVTypes"/>
</file>