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sehingga ketergantungan antar waktu inilah yang membedakannya dari data tabular biasa. Gambaran umum alur pembahasan pertemuan ini, dari akuisisi sensor mentah hingga keputusan teknis, ditunjukkan pada Gambar 1.</w:t>
      </w:r>
    </w:p>
    <w:p>
      <w:pPr>
        <w:keepNext/>
        <w:spacing w:before="120" w:after="40"/>
        <w:jc w:val="center"/>
      </w:pPr>
      <w:r>
        <w:drawing>
          <wp:inline xmlns:a="http://schemas.openxmlformats.org/drawingml/2006/main" xmlns:pic="http://schemas.openxmlformats.org/drawingml/2006/picture">
            <wp:extent cx="5040000" cy="1693241"/>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5040000" cy="1693241"/>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mempertimbangkan aspek ekonomi dalam desain sistem otomasi, yaitu pemilihan sampling rate, sensor, dan strategi penyimpanan data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dinotasikan {xt}. Berbeda dengan data biasa (misalnya tabel pelanggan), urutan dalam time series adalah informasi: mengacak urutannya menghancurkan makna. Setiap titik xt berhubungan dengan xt−1, xt−2, dan seterusnya; sifat inilah yang disebut temporal dependency.</w:t>
      </w:r>
    </w:p>
    <w:p>
      <w:pPr>
        <w:spacing w:before="40" w:after="120"/>
        <w:jc w:val="center"/>
      </w:pPr>
      <w:r>
        <w:rPr>
          <w:rFonts w:ascii="Arial" w:hAnsi="Arial" w:cs="Arial"/>
          <w:b/>
          <w:i/>
          <w:color w:val="305496"/>
          <w:sz w:val="22"/>
        </w:rPr>
        <w:t>xt ≈ f(xt−1, xt−2, ...)</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yaitu pola yang tipikal terekam akselerometer pada motor industri.</w:t>
      </w:r>
    </w:p>
    <w:p>
      <w:pPr>
        <w:keepNext/>
        <w:spacing w:before="120" w:after="40"/>
        <w:jc w:val="center"/>
      </w:pPr>
      <w:r>
        <w:drawing>
          <wp:inline xmlns:a="http://schemas.openxmlformats.org/drawingml/2006/main" xmlns:pic="http://schemas.openxmlformats.org/drawingml/2006/picture">
            <wp:extent cx="4572000" cy="2691965"/>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4572000" cy="2691965"/>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seperti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atau hanya pola harian yang muncul setiap pergantian shift pagi. Model aditifnya, divisualisasikan pada Gambar 3, adalah:</w:t>
      </w:r>
    </w:p>
    <w:p>
      <w:pPr>
        <w:spacing w:before="40" w:after="120"/>
        <w:jc w:val="center"/>
      </w:pPr>
      <w:r>
        <w:rPr>
          <w:rFonts w:ascii="Arial" w:hAnsi="Arial" w:cs="Arial"/>
          <w:b/>
          <w:i/>
          <w:color w:val="305496"/>
          <w:sz w:val="22"/>
        </w:rPr>
        <w:t>yt = Tt + St + Ct + εt   (observasi = tren + musiman + siklik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w:t>
      </w:r>
      <w:r>
        <w:rPr>
          <w:rFonts w:ascii="Arial" w:hAnsi="Arial" w:cs="Arial"/>
          <w:b w:val="0"/>
          <w:i w:val="0"/>
          <w:sz w:val="22"/>
        </w:rPr>
        <w:t>pola berulang tanpa periode tetap, seperti fluktuasi ekonomi dan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(lihat panel terbawah Gambar 3).</w:t>
      </w:r>
    </w:p>
    <w:p>
      <w:pPr>
        <w:keepNext/>
        <w:spacing w:before="120" w:after="40"/>
        <w:jc w:val="center"/>
      </w:pPr>
      <w:r>
        <w:drawing>
          <wp:inline xmlns:a="http://schemas.openxmlformats.org/drawingml/2006/main" xmlns:pic="http://schemas.openxmlformats.org/drawingml/2006/picture">
            <wp:extent cx="3420000" cy="2695867"/>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3420000" cy="2695867"/>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Komponen</w:t>
            </w:r>
          </w:p>
        </w:tc>
        <w:tc>
          <w:tcPr>
            <w:tcW w:type="dxa" w:w="2197"/>
            <w:shd w:val="clear" w:fill="DCE4F1"/>
          </w:tcPr>
          <w:p>
            <w:pPr>
              <w:keepNext/>
              <w:spacing w:after="0"/>
            </w:pPr>
            <w:r>
              <w:rPr>
                <w:rFonts w:ascii="Arial" w:hAnsi="Arial" w:cs="Arial"/>
                <w:b/>
                <w:i w:val="0"/>
                <w:sz w:val="19"/>
              </w:rPr>
              <w:t>Periode</w:t>
            </w:r>
          </w:p>
        </w:tc>
        <w:tc>
          <w:tcPr>
            <w:tcW w:type="dxa" w:w="2197"/>
            <w:shd w:val="clear" w:fill="DCE4F1"/>
          </w:tcPr>
          <w:p>
            <w:pPr>
              <w:keepNext/>
              <w:spacing w:after="0"/>
            </w:pPr>
            <w:r>
              <w:rPr>
                <w:rFonts w:ascii="Arial" w:hAnsi="Arial" w:cs="Arial"/>
                <w:b/>
                <w:i w:val="0"/>
                <w:sz w:val="19"/>
              </w:rPr>
              <w:t>Contoh Industri</w:t>
            </w:r>
          </w:p>
        </w:tc>
        <w:tc>
          <w:tcPr>
            <w:tcW w:type="dxa" w:w="2197"/>
            <w:shd w:val="clear" w:fill="DCE4F1"/>
          </w:tcPr>
          <w:p>
            <w:pPr>
              <w:keepNext/>
              <w:spacing w:after="0"/>
            </w:pPr>
            <w:r>
              <w:rPr>
                <w:rFonts w:ascii="Arial" w:hAnsi="Arial" w:cs="Arial"/>
                <w:b/>
                <w:i w:val="0"/>
                <w:sz w:val="19"/>
              </w:rPr>
              <w:t>Cara Deteksi</w:t>
            </w:r>
          </w:p>
        </w:tc>
      </w:tr>
      <w:tr>
        <w:trPr>
          <w:cantSplit/>
        </w:trPr>
        <w:tc>
          <w:tcPr>
            <w:tcW w:type="dxa" w:w="2197"/>
          </w:tcPr>
          <w:p>
            <w:pPr>
              <w:keepNext/>
              <w:spacing w:after="0"/>
            </w:pPr>
            <w:r>
              <w:rPr>
                <w:rFonts w:ascii="Arial" w:hAnsi="Arial" w:cs="Arial"/>
                <w:b w:val="0"/>
                <w:i w:val="0"/>
                <w:sz w:val="19"/>
              </w:rPr>
              <w:t>Tren</w:t>
            </w:r>
          </w:p>
        </w:tc>
        <w:tc>
          <w:tcPr>
            <w:tcW w:type="dxa" w:w="2197"/>
          </w:tcPr>
          <w:p>
            <w:pPr>
              <w:keepNext/>
              <w:spacing w:after="0"/>
            </w:pPr>
            <w:r>
              <w:rPr>
                <w:rFonts w:ascii="Arial" w:hAnsi="Arial" w:cs="Arial"/>
                <w:b w:val="0"/>
                <w:i w:val="0"/>
                <w:sz w:val="19"/>
              </w:rPr>
              <w:t>Tidak ada (monoton)</w:t>
            </w:r>
          </w:p>
        </w:tc>
        <w:tc>
          <w:tcPr>
            <w:tcW w:type="dxa" w:w="2197"/>
          </w:tcPr>
          <w:p>
            <w:pPr>
              <w:keepNext/>
              <w:spacing w:after="0"/>
            </w:pPr>
            <w:r>
              <w:rPr>
                <w:rFonts w:ascii="Arial" w:hAnsi="Arial" w:cs="Arial"/>
                <w:b w:val="0"/>
                <w:i w:val="0"/>
                <w:sz w:val="19"/>
              </w:rPr>
              <w:t>Aus bearing, drift sensor, korosi pipa</w:t>
            </w:r>
          </w:p>
        </w:tc>
        <w:tc>
          <w:tcPr>
            <w:tcW w:type="dxa" w:w="2197"/>
          </w:tcPr>
          <w:p>
            <w:pPr>
              <w:keepNext/>
              <w:spacing w:after="0"/>
            </w:pPr>
            <w:r>
              <w:rPr>
                <w:rFonts w:ascii="Arial" w:hAnsi="Arial" w:cs="Arial"/>
                <w:b w:val="0"/>
                <w:i w:val="0"/>
                <w:sz w:val="19"/>
              </w:rPr>
              <w:t>Regresi linear, moving average</w:t>
            </w:r>
          </w:p>
        </w:tc>
      </w:tr>
      <w:tr>
        <w:trPr>
          <w:cantSplit/>
        </w:trPr>
        <w:tc>
          <w:tcPr>
            <w:tcW w:type="dxa" w:w="2197"/>
          </w:tcPr>
          <w:p>
            <w:pPr>
              <w:keepNext/>
              <w:spacing w:after="0"/>
            </w:pPr>
            <w:r>
              <w:rPr>
                <w:rFonts w:ascii="Arial" w:hAnsi="Arial" w:cs="Arial"/>
                <w:b w:val="0"/>
                <w:i w:val="0"/>
                <w:sz w:val="19"/>
              </w:rPr>
              <w:t>Musiman</w:t>
            </w:r>
          </w:p>
        </w:tc>
        <w:tc>
          <w:tcPr>
            <w:tcW w:type="dxa" w:w="2197"/>
          </w:tcPr>
          <w:p>
            <w:pPr>
              <w:keepNext/>
              <w:spacing w:after="0"/>
            </w:pPr>
            <w:r>
              <w:rPr>
                <w:rFonts w:ascii="Arial" w:hAnsi="Arial" w:cs="Arial"/>
                <w:b w:val="0"/>
                <w:i w:val="0"/>
                <w:sz w:val="19"/>
              </w:rPr>
              <w:t>Tetap (24 j, 7 h, 30 h, 365 h)</w:t>
            </w:r>
          </w:p>
        </w:tc>
        <w:tc>
          <w:tcPr>
            <w:tcW w:type="dxa" w:w="2197"/>
          </w:tcPr>
          <w:p>
            <w:pPr>
              <w:keepNext/>
              <w:spacing w:after="0"/>
            </w:pPr>
            <w:r>
              <w:rPr>
                <w:rFonts w:ascii="Arial" w:hAnsi="Arial" w:cs="Arial"/>
                <w:b w:val="0"/>
                <w:i w:val="0"/>
                <w:sz w:val="19"/>
              </w:rPr>
              <w:t>Shift kerja, weekend, musim, jadwal</w:t>
            </w:r>
          </w:p>
        </w:tc>
        <w:tc>
          <w:tcPr>
            <w:tcW w:type="dxa" w:w="2197"/>
          </w:tcPr>
          <w:p>
            <w:pPr>
              <w:keepNext/>
              <w:spacing w:after="0"/>
            </w:pPr>
            <w:r>
              <w:rPr>
                <w:rFonts w:ascii="Arial" w:hAnsi="Arial" w:cs="Arial"/>
                <w:b w:val="0"/>
                <w:i w:val="0"/>
                <w:sz w:val="19"/>
              </w:rPr>
              <w:t>FFT, dekomposisi STL, plot ACF</w:t>
            </w:r>
          </w:p>
        </w:tc>
      </w:tr>
      <w:tr>
        <w:trPr>
          <w:cantSplit/>
        </w:trPr>
        <w:tc>
          <w:tcPr>
            <w:tcW w:type="dxa" w:w="2197"/>
          </w:tcPr>
          <w:p>
            <w:pPr>
              <w:keepNext/>
              <w:spacing w:after="0"/>
            </w:pPr>
            <w:r>
              <w:rPr>
                <w:rFonts w:ascii="Arial" w:hAnsi="Arial" w:cs="Arial"/>
                <w:b w:val="0"/>
                <w:i w:val="0"/>
                <w:sz w:val="19"/>
              </w:rPr>
              <w:t>Siklik</w:t>
            </w:r>
          </w:p>
        </w:tc>
        <w:tc>
          <w:tcPr>
            <w:tcW w:type="dxa" w:w="2197"/>
          </w:tcPr>
          <w:p>
            <w:pPr>
              <w:keepNext/>
              <w:spacing w:after="0"/>
            </w:pPr>
            <w:r>
              <w:rPr>
                <w:rFonts w:ascii="Arial" w:hAnsi="Arial" w:cs="Arial"/>
                <w:b w:val="0"/>
                <w:i w:val="0"/>
                <w:sz w:val="19"/>
              </w:rPr>
              <w:t>Tidak tetap (&gt; 1 tahun)</w:t>
            </w:r>
          </w:p>
        </w:tc>
        <w:tc>
          <w:tcPr>
            <w:tcW w:type="dxa" w:w="2197"/>
          </w:tcPr>
          <w:p>
            <w:pPr>
              <w:keepNext/>
              <w:spacing w:after="0"/>
            </w:pPr>
            <w:r>
              <w:rPr>
                <w:rFonts w:ascii="Arial" w:hAnsi="Arial" w:cs="Arial"/>
                <w:b w:val="0"/>
                <w:i w:val="0"/>
                <w:sz w:val="19"/>
              </w:rPr>
              <w:t>Ekonomi, permintaan pasar</w:t>
            </w:r>
          </w:p>
        </w:tc>
        <w:tc>
          <w:tcPr>
            <w:tcW w:type="dxa" w:w="2197"/>
          </w:tcPr>
          <w:p>
            <w:pPr>
              <w:keepNext/>
              <w:spacing w:after="0"/>
            </w:pPr>
            <w:r>
              <w:rPr>
                <w:rFonts w:ascii="Arial" w:hAnsi="Arial" w:cs="Arial"/>
                <w:b w:val="0"/>
                <w:i w:val="0"/>
                <w:sz w:val="19"/>
              </w:rPr>
              <w:t>Analisis spektral, model ARIMA</w:t>
            </w:r>
          </w:p>
        </w:tc>
      </w:tr>
      <w:tr>
        <w:trPr>
          <w:cantSplit/>
        </w:trP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w:t>
      </w:r>
      <w:r>
        <w:rPr>
          <w:rFonts w:ascii="Arial" w:hAnsi="Arial" w:cs="Arial"/>
          <w:b w:val="0"/>
          <w:i w:val="0"/>
          <w:sz w:val="22"/>
        </w:rPr>
        <w:t>akar dari rata-rata kuadrat, RMS = √((1/N)·Σxi²), yaitu ukuran energi efektif sinyal yang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keepNext/>
        <w:spacing w:before="120" w:after="40"/>
        <w:jc w:val="center"/>
      </w:pPr>
      <w:r>
        <w:drawing>
          <wp:inline xmlns:a="http://schemas.openxmlformats.org/drawingml/2006/main" xmlns:pic="http://schemas.openxmlformats.org/drawingml/2006/picture">
            <wp:extent cx="4536000" cy="2708185"/>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4536000" cy="2708185"/>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Statistik</w:t>
            </w:r>
          </w:p>
        </w:tc>
        <w:tc>
          <w:tcPr>
            <w:tcW w:type="dxa" w:w="2197"/>
            <w:shd w:val="clear" w:fill="DCE4F1"/>
          </w:tcPr>
          <w:p>
            <w:pPr>
              <w:keepNext/>
              <w:spacing w:after="0"/>
            </w:pPr>
            <w:r>
              <w:rPr>
                <w:rFonts w:ascii="Arial" w:hAnsi="Arial" w:cs="Arial"/>
                <w:b/>
                <w:i w:val="0"/>
                <w:sz w:val="19"/>
              </w:rPr>
              <w:t>Sensitif terhadap</w:t>
            </w:r>
          </w:p>
        </w:tc>
        <w:tc>
          <w:tcPr>
            <w:tcW w:type="dxa" w:w="2197"/>
            <w:shd w:val="clear" w:fill="DCE4F1"/>
          </w:tcPr>
          <w:p>
            <w:pPr>
              <w:keepNext/>
              <w:spacing w:after="0"/>
            </w:pPr>
            <w:r>
              <w:rPr>
                <w:rFonts w:ascii="Arial" w:hAnsi="Arial" w:cs="Arial"/>
                <w:b/>
                <w:i w:val="0"/>
                <w:sz w:val="19"/>
              </w:rPr>
              <w:t>Aplikasi</w:t>
            </w:r>
          </w:p>
        </w:tc>
        <w:tc>
          <w:tcPr>
            <w:tcW w:type="dxa" w:w="2197"/>
            <w:shd w:val="clear" w:fill="DCE4F1"/>
          </w:tcPr>
          <w:p>
            <w:pPr>
              <w:keepNext/>
              <w:spacing w:after="0"/>
            </w:pPr>
            <w:r>
              <w:rPr>
                <w:rFonts w:ascii="Arial" w:hAnsi="Arial" w:cs="Arial"/>
                <w:b/>
                <w:i w:val="0"/>
                <w:sz w:val="19"/>
              </w:rPr>
              <w:t>Tipe Kerusakan</w:t>
            </w:r>
          </w:p>
        </w:tc>
      </w:tr>
      <w:tr>
        <w:trPr>
          <w:cantSplit/>
        </w:trPr>
        <w:tc>
          <w:tcPr>
            <w:tcW w:type="dxa" w:w="2197"/>
          </w:tcPr>
          <w:p>
            <w:pPr>
              <w:keepNext/>
              <w:spacing w:after="0"/>
            </w:pPr>
            <w:r>
              <w:rPr>
                <w:rFonts w:ascii="Arial" w:hAnsi="Arial" w:cs="Arial"/>
                <w:b w:val="0"/>
                <w:i w:val="0"/>
                <w:sz w:val="19"/>
              </w:rPr>
              <w:t>Mean</w:t>
            </w:r>
          </w:p>
        </w:tc>
        <w:tc>
          <w:tcPr>
            <w:tcW w:type="dxa" w:w="2197"/>
          </w:tcPr>
          <w:p>
            <w:pPr>
              <w:keepNext/>
              <w:spacing w:after="0"/>
            </w:pPr>
            <w:r>
              <w:rPr>
                <w:rFonts w:ascii="Arial" w:hAnsi="Arial" w:cs="Arial"/>
                <w:b w:val="0"/>
                <w:i w:val="0"/>
                <w:sz w:val="19"/>
              </w:rPr>
              <w:t>DC offset, drift sensor</w:t>
            </w:r>
          </w:p>
        </w:tc>
        <w:tc>
          <w:tcPr>
            <w:tcW w:type="dxa" w:w="2197"/>
          </w:tcPr>
          <w:p>
            <w:pPr>
              <w:keepNext/>
              <w:spacing w:after="0"/>
            </w:pPr>
            <w:r>
              <w:rPr>
                <w:rFonts w:ascii="Arial" w:hAnsi="Arial" w:cs="Arial"/>
                <w:b w:val="0"/>
                <w:i w:val="0"/>
                <w:sz w:val="19"/>
              </w:rPr>
              <w:t>Kalibrasi, baseline</w:t>
            </w:r>
          </w:p>
        </w:tc>
        <w:tc>
          <w:tcPr>
            <w:tcW w:type="dxa" w:w="2197"/>
          </w:tcPr>
          <w:p>
            <w:pPr>
              <w:keepNext/>
              <w:spacing w:after="0"/>
            </w:pPr>
            <w:r>
              <w:rPr>
                <w:rFonts w:ascii="Arial" w:hAnsi="Arial" w:cs="Arial"/>
                <w:b w:val="0"/>
                <w:i w:val="0"/>
                <w:sz w:val="19"/>
              </w:rPr>
              <w:t>Drift sensor</w:t>
            </w:r>
          </w:p>
        </w:tc>
      </w:tr>
      <w:tr>
        <w:trPr>
          <w:cantSplit/>
        </w:trPr>
        <w:tc>
          <w:tcPr>
            <w:tcW w:type="dxa" w:w="2197"/>
          </w:tcPr>
          <w:p>
            <w:pPr>
              <w:keepNext/>
              <w:spacing w:after="0"/>
            </w:pPr>
            <w:r>
              <w:rPr>
                <w:rFonts w:ascii="Arial" w:hAnsi="Arial" w:cs="Arial"/>
                <w:b w:val="0"/>
                <w:i w:val="0"/>
                <w:sz w:val="19"/>
              </w:rPr>
              <w:t>RMS</w:t>
            </w:r>
          </w:p>
        </w:tc>
        <w:tc>
          <w:tcPr>
            <w:tcW w:type="dxa" w:w="2197"/>
          </w:tcPr>
          <w:p>
            <w:pPr>
              <w:keepNext/>
              <w:spacing w:after="0"/>
            </w:pPr>
            <w:r>
              <w:rPr>
                <w:rFonts w:ascii="Arial" w:hAnsi="Arial" w:cs="Arial"/>
                <w:b w:val="0"/>
                <w:i w:val="0"/>
                <w:sz w:val="19"/>
              </w:rPr>
              <w:t>Energi keseluruhan sinyal</w:t>
            </w:r>
          </w:p>
        </w:tc>
        <w:tc>
          <w:tcPr>
            <w:tcW w:type="dxa" w:w="2197"/>
          </w:tcPr>
          <w:p>
            <w:pPr>
              <w:keepNext/>
              <w:spacing w:after="0"/>
            </w:pPr>
            <w:r>
              <w:rPr>
                <w:rFonts w:ascii="Arial" w:hAnsi="Arial" w:cs="Arial"/>
                <w:b w:val="0"/>
                <w:i w:val="0"/>
                <w:sz w:val="19"/>
              </w:rPr>
              <w:t>Kelas getaran ISO 10816</w:t>
            </w:r>
          </w:p>
        </w:tc>
        <w:tc>
          <w:tcPr>
            <w:tcW w:type="dxa" w:w="2197"/>
          </w:tcPr>
          <w:p>
            <w:pPr>
              <w:keepNext/>
              <w:spacing w:after="0"/>
            </w:pPr>
            <w:r>
              <w:rPr>
                <w:rFonts w:ascii="Arial" w:hAnsi="Arial" w:cs="Arial"/>
                <w:b w:val="0"/>
                <w:i w:val="0"/>
                <w:sz w:val="19"/>
              </w:rPr>
              <w:t>Unbalance, misalignment</w:t>
            </w:r>
          </w:p>
        </w:tc>
      </w:tr>
      <w:tr>
        <w:trPr>
          <w:cantSplit/>
        </w:trPr>
        <w:tc>
          <w:tcPr>
            <w:tcW w:type="dxa" w:w="2197"/>
          </w:tcPr>
          <w:p>
            <w:pPr>
              <w:keepNext/>
              <w:spacing w:after="0"/>
            </w:pPr>
            <w:r>
              <w:rPr>
                <w:rFonts w:ascii="Arial" w:hAnsi="Arial" w:cs="Arial"/>
                <w:b w:val="0"/>
                <w:i w:val="0"/>
                <w:sz w:val="19"/>
              </w:rPr>
              <w:t>Std (σ)</w:t>
            </w:r>
          </w:p>
        </w:tc>
        <w:tc>
          <w:tcPr>
            <w:tcW w:type="dxa" w:w="2197"/>
          </w:tcPr>
          <w:p>
            <w:pPr>
              <w:keepNext/>
              <w:spacing w:after="0"/>
            </w:pPr>
            <w:r>
              <w:rPr>
                <w:rFonts w:ascii="Arial" w:hAnsi="Arial" w:cs="Arial"/>
                <w:b w:val="0"/>
                <w:i w:val="0"/>
                <w:sz w:val="19"/>
              </w:rPr>
              <w:t>Variabilitas, sebaran</w:t>
            </w:r>
          </w:p>
        </w:tc>
        <w:tc>
          <w:tcPr>
            <w:tcW w:type="dxa" w:w="2197"/>
          </w:tcPr>
          <w:p>
            <w:pPr>
              <w:keepNext/>
              <w:spacing w:after="0"/>
            </w:pPr>
            <w:r>
              <w:rPr>
                <w:rFonts w:ascii="Arial" w:hAnsi="Arial" w:cs="Arial"/>
                <w:b w:val="0"/>
                <w:i w:val="0"/>
                <w:sz w:val="19"/>
              </w:rPr>
              <w:t>Deteksi anomali (aturan 3σ)</w:t>
            </w:r>
          </w:p>
        </w:tc>
        <w:tc>
          <w:tcPr>
            <w:tcW w:type="dxa" w:w="2197"/>
          </w:tcPr>
          <w:p>
            <w:pPr>
              <w:keepNext/>
              <w:spacing w:after="0"/>
            </w:pPr>
            <w:r>
              <w:rPr>
                <w:rFonts w:ascii="Arial" w:hAnsi="Arial" w:cs="Arial"/>
                <w:b w:val="0"/>
                <w:i w:val="0"/>
                <w:sz w:val="19"/>
              </w:rPr>
              <w:t>Kondisi tidak stabil</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Lonjakan tertinggi</w:t>
            </w:r>
          </w:p>
        </w:tc>
        <w:tc>
          <w:tcPr>
            <w:tcW w:type="dxa" w:w="2197"/>
          </w:tcPr>
          <w:p>
            <w:pPr>
              <w:keepNext/>
              <w:spacing w:after="0"/>
            </w:pPr>
            <w:r>
              <w:rPr>
                <w:rFonts w:ascii="Arial" w:hAnsi="Arial" w:cs="Arial"/>
                <w:b w:val="0"/>
                <w:i w:val="0"/>
                <w:sz w:val="19"/>
              </w:rPr>
              <w:t>Stres mekanik maksimum</w:t>
            </w:r>
          </w:p>
        </w:tc>
        <w:tc>
          <w:tcPr>
            <w:tcW w:type="dxa" w:w="2197"/>
          </w:tcPr>
          <w:p>
            <w:pPr>
              <w:keepNext/>
              <w:spacing w:after="0"/>
            </w:pPr>
            <w:r>
              <w:rPr>
                <w:rFonts w:ascii="Arial" w:hAnsi="Arial" w:cs="Arial"/>
                <w:b w:val="0"/>
                <w:i w:val="0"/>
                <w:sz w:val="19"/>
              </w:rPr>
              <w:t>Shock, impact event</w:t>
            </w:r>
          </w:p>
        </w:tc>
      </w:tr>
      <w:tr>
        <w:trPr>
          <w:cantSplit/>
        </w:trP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dan tidak ada algoritma pada pertemuan berikutnya yang mampu memperbaikinya. Gambar 5 mendemonstrasikan konsekuensinya secara visual.</w:t>
      </w:r>
    </w:p>
    <w:p>
      <w:pPr>
        <w:spacing w:before="40" w:after="120"/>
        <w:jc w:val="center"/>
      </w:pPr>
      <w:r>
        <w:rPr>
          <w:rFonts w:ascii="Arial" w:hAnsi="Arial" w:cs="Arial"/>
          <w:b/>
          <w:i/>
          <w:color w:val="305496"/>
          <w:sz w:val="22"/>
        </w:rPr>
        <w:t>fs ≥ 2·fmaks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w:t>
      </w:r>
      <w:r>
        <w:rPr>
          <w:rFonts w:ascii="Arial" w:hAnsi="Arial" w:cs="Arial"/>
          <w:b w:val="0"/>
          <w:i w:val="0"/>
          <w:sz w:val="22"/>
        </w:rPr>
        <w:t>fN = fs/2, yaitu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w:t>
      </w:r>
      <w:r>
        <w:rPr>
          <w:rFonts w:ascii="Arial" w:hAnsi="Arial" w:cs="Arial"/>
          <w:b w:val="0"/>
          <w:i w:val="0"/>
          <w:sz w:val="22"/>
        </w:rPr>
        <w:t>distorsi ketika komponen di atas fN tetap masuk ke ADC: pada Gambar 5, sinyal asli 50 Hz yang di-sampling pada 60 Hz (under-Nyquist) tampak sebagai alias 10 Hz: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di sinilah pertimbangan ekonomi Sub-CPMK 1.1 berperan.</w:t>
      </w:r>
    </w:p>
    <w:p>
      <w:pPr>
        <w:keepNext/>
        <w:spacing w:before="120" w:after="40"/>
        <w:jc w:val="center"/>
      </w:pPr>
      <w:r>
        <w:drawing>
          <wp:inline xmlns:a="http://schemas.openxmlformats.org/drawingml/2006/main" xmlns:pic="http://schemas.openxmlformats.org/drawingml/2006/picture">
            <wp:extent cx="4572000" cy="2698981"/>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4572000" cy="2698981"/>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Aplikasi Sensor</w:t>
            </w:r>
          </w:p>
        </w:tc>
        <w:tc>
          <w:tcPr>
            <w:tcW w:type="dxa" w:w="2197"/>
            <w:shd w:val="clear" w:fill="DCE4F1"/>
          </w:tcPr>
          <w:p>
            <w:pPr>
              <w:keepNext/>
              <w:spacing w:after="0"/>
            </w:pPr>
            <w:r>
              <w:rPr>
                <w:rFonts w:ascii="Arial" w:hAnsi="Arial" w:cs="Arial"/>
                <w:b/>
                <w:i w:val="0"/>
                <w:sz w:val="19"/>
              </w:rPr>
              <w:t>Frekuensi Sinyal</w:t>
            </w:r>
          </w:p>
        </w:tc>
        <w:tc>
          <w:tcPr>
            <w:tcW w:type="dxa" w:w="2197"/>
            <w:shd w:val="clear" w:fill="DCE4F1"/>
          </w:tcPr>
          <w:p>
            <w:pPr>
              <w:keepNext/>
              <w:spacing w:after="0"/>
            </w:pPr>
            <w:r>
              <w:rPr>
                <w:rFonts w:ascii="Arial" w:hAnsi="Arial" w:cs="Arial"/>
                <w:b/>
                <w:i w:val="0"/>
                <w:sz w:val="19"/>
              </w:rPr>
              <w:t>Sampling Rate Tipikal</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Suhu / tekanan</w:t>
            </w:r>
          </w:p>
        </w:tc>
        <w:tc>
          <w:tcPr>
            <w:tcW w:type="dxa" w:w="2197"/>
          </w:tcPr>
          <w:p>
            <w:pPr>
              <w:keepNext/>
              <w:spacing w:after="0"/>
            </w:pPr>
            <w:r>
              <w:rPr>
                <w:rFonts w:ascii="Arial" w:hAnsi="Arial" w:cs="Arial"/>
                <w:b w:val="0"/>
                <w:i w:val="0"/>
                <w:sz w:val="19"/>
              </w:rPr>
              <w:t>&lt; 1 Hz</w:t>
            </w:r>
          </w:p>
        </w:tc>
        <w:tc>
          <w:tcPr>
            <w:tcW w:type="dxa" w:w="2197"/>
          </w:tcPr>
          <w:p>
            <w:pPr>
              <w:keepNext/>
              <w:spacing w:after="0"/>
            </w:pPr>
            <w:r>
              <w:rPr>
                <w:rFonts w:ascii="Arial" w:hAnsi="Arial" w:cs="Arial"/>
                <w:b w:val="0"/>
                <w:i w:val="0"/>
                <w:sz w:val="19"/>
              </w:rPr>
              <w:t>1–10 Hz</w:t>
            </w:r>
          </w:p>
        </w:tc>
        <w:tc>
          <w:tcPr>
            <w:tcW w:type="dxa" w:w="2197"/>
          </w:tcPr>
          <w:p>
            <w:pPr>
              <w:keepNext/>
              <w:spacing w:after="0"/>
            </w:pPr>
            <w:r>
              <w:rPr>
                <w:rFonts w:ascii="Arial" w:hAnsi="Arial" w:cs="Arial"/>
                <w:b w:val="0"/>
                <w:i w:val="0"/>
                <w:sz w:val="19"/>
              </w:rPr>
              <w:t>Lambat berubah, tanpa oversampling</w:t>
            </w:r>
          </w:p>
        </w:tc>
      </w:tr>
      <w:tr>
        <w:trPr>
          <w:cantSplit/>
        </w:trPr>
        <w:tc>
          <w:tcPr>
            <w:tcW w:type="dxa" w:w="2197"/>
          </w:tcPr>
          <w:p>
            <w:pPr>
              <w:keepNext/>
              <w:spacing w:after="0"/>
            </w:pPr>
            <w:r>
              <w:rPr>
                <w:rFonts w:ascii="Arial" w:hAnsi="Arial" w:cs="Arial"/>
                <w:b w:val="0"/>
                <w:i w:val="0"/>
                <w:sz w:val="19"/>
              </w:rPr>
              <w:t>Aliran (flow)</w:t>
            </w:r>
          </w:p>
        </w:tc>
        <w:tc>
          <w:tcPr>
            <w:tcW w:type="dxa" w:w="2197"/>
          </w:tcPr>
          <w:p>
            <w:pPr>
              <w:keepNext/>
              <w:spacing w:after="0"/>
            </w:pPr>
            <w:r>
              <w:rPr>
                <w:rFonts w:ascii="Arial" w:hAnsi="Arial" w:cs="Arial"/>
                <w:b w:val="0"/>
                <w:i w:val="0"/>
                <w:sz w:val="19"/>
              </w:rPr>
              <w:t>1–100 Hz</w:t>
            </w:r>
          </w:p>
        </w:tc>
        <w:tc>
          <w:tcPr>
            <w:tcW w:type="dxa" w:w="2197"/>
          </w:tcPr>
          <w:p>
            <w:pPr>
              <w:keepNext/>
              <w:spacing w:after="0"/>
            </w:pPr>
            <w:r>
              <w:rPr>
                <w:rFonts w:ascii="Arial" w:hAnsi="Arial" w:cs="Arial"/>
                <w:b w:val="0"/>
                <w:i w:val="0"/>
                <w:sz w:val="19"/>
              </w:rPr>
              <w:t>100 Hz – 1 kHz</w:t>
            </w:r>
          </w:p>
        </w:tc>
        <w:tc>
          <w:tcPr>
            <w:tcW w:type="dxa" w:w="2197"/>
          </w:tcPr>
          <w:p>
            <w:pPr>
              <w:keepNext/>
              <w:spacing w:after="0"/>
            </w:pPr>
            <w:r>
              <w:rPr>
                <w:rFonts w:ascii="Arial" w:hAnsi="Arial" w:cs="Arial"/>
                <w:b w:val="0"/>
                <w:i w:val="0"/>
                <w:sz w:val="19"/>
              </w:rPr>
              <w:t>Tergantung dinamika fluida</w:t>
            </w:r>
          </w:p>
        </w:tc>
      </w:tr>
      <w:tr>
        <w:trPr>
          <w:cantSplit/>
        </w:trPr>
        <w:tc>
          <w:tcPr>
            <w:tcW w:type="dxa" w:w="2197"/>
          </w:tcPr>
          <w:p>
            <w:pPr>
              <w:keepNext/>
              <w:spacing w:after="0"/>
            </w:pPr>
            <w:r>
              <w:rPr>
                <w:rFonts w:ascii="Arial" w:hAnsi="Arial" w:cs="Arial"/>
                <w:b w:val="0"/>
                <w:i w:val="0"/>
                <w:sz w:val="19"/>
              </w:rPr>
              <w:t>Getaran umum mesin</w:t>
            </w:r>
          </w:p>
        </w:tc>
        <w:tc>
          <w:tcPr>
            <w:tcW w:type="dxa" w:w="2197"/>
          </w:tcPr>
          <w:p>
            <w:pPr>
              <w:keepNext/>
              <w:spacing w:after="0"/>
            </w:pPr>
            <w:r>
              <w:rPr>
                <w:rFonts w:ascii="Arial" w:hAnsi="Arial" w:cs="Arial"/>
                <w:b w:val="0"/>
                <w:i w:val="0"/>
                <w:sz w:val="19"/>
              </w:rPr>
              <w:t>10 Hz – 5 kHz</w:t>
            </w:r>
          </w:p>
        </w:tc>
        <w:tc>
          <w:tcPr>
            <w:tcW w:type="dxa" w:w="2197"/>
          </w:tcPr>
          <w:p>
            <w:pPr>
              <w:keepNext/>
              <w:spacing w:after="0"/>
            </w:pPr>
            <w:r>
              <w:rPr>
                <w:rFonts w:ascii="Arial" w:hAnsi="Arial" w:cs="Arial"/>
                <w:b w:val="0"/>
                <w:i w:val="0"/>
                <w:sz w:val="19"/>
              </w:rPr>
              <w:t>10 kHz</w:t>
            </w:r>
          </w:p>
        </w:tc>
        <w:tc>
          <w:tcPr>
            <w:tcW w:type="dxa" w:w="2197"/>
          </w:tcPr>
          <w:p>
            <w:pPr>
              <w:keepNext/>
              <w:spacing w:after="0"/>
            </w:pPr>
            <w:r>
              <w:rPr>
                <w:rFonts w:ascii="Arial" w:hAnsi="Arial" w:cs="Arial"/>
                <w:b w:val="0"/>
                <w:i w:val="0"/>
                <w:sz w:val="19"/>
              </w:rPr>
              <w:t>Standar ISO 10816</w:t>
            </w:r>
          </w:p>
        </w:tc>
      </w:tr>
      <w:tr>
        <w:trPr>
          <w:cantSplit/>
        </w:trPr>
        <w:tc>
          <w:tcPr>
            <w:tcW w:type="dxa" w:w="2197"/>
          </w:tcPr>
          <w:p>
            <w:pPr>
              <w:keepNext/>
              <w:spacing w:after="0"/>
            </w:pPr>
            <w:r>
              <w:rPr>
                <w:rFonts w:ascii="Arial" w:hAnsi="Arial" w:cs="Arial"/>
                <w:b w:val="0"/>
                <w:i w:val="0"/>
                <w:sz w:val="19"/>
              </w:rPr>
              <w:t>Bearing high-speed</w:t>
            </w:r>
          </w:p>
        </w:tc>
        <w:tc>
          <w:tcPr>
            <w:tcW w:type="dxa" w:w="2197"/>
          </w:tcPr>
          <w:p>
            <w:pPr>
              <w:keepNext/>
              <w:spacing w:after="0"/>
            </w:pPr>
            <w:r>
              <w:rPr>
                <w:rFonts w:ascii="Arial" w:hAnsi="Arial" w:cs="Arial"/>
                <w:b w:val="0"/>
                <w:i w:val="0"/>
                <w:sz w:val="19"/>
              </w:rPr>
              <w:t>1–20 kHz</w:t>
            </w:r>
          </w:p>
        </w:tc>
        <w:tc>
          <w:tcPr>
            <w:tcW w:type="dxa" w:w="2197"/>
          </w:tcPr>
          <w:p>
            <w:pPr>
              <w:keepNext/>
              <w:spacing w:after="0"/>
            </w:pPr>
            <w:r>
              <w:rPr>
                <w:rFonts w:ascii="Arial" w:hAnsi="Arial" w:cs="Arial"/>
                <w:b w:val="0"/>
                <w:i w:val="0"/>
                <w:sz w:val="19"/>
              </w:rPr>
              <w:t>40–50 kHz</w:t>
            </w:r>
          </w:p>
        </w:tc>
        <w:tc>
          <w:tcPr>
            <w:tcW w:type="dxa" w:w="2197"/>
          </w:tcPr>
          <w:p>
            <w:pPr>
              <w:keepNext/>
              <w:spacing w:after="0"/>
            </w:pPr>
            <w:r>
              <w:rPr>
                <w:rFonts w:ascii="Arial" w:hAnsi="Arial" w:cs="Arial"/>
                <w:b w:val="0"/>
                <w:i w:val="0"/>
                <w:sz w:val="19"/>
              </w:rPr>
              <w:t>Untuk envelope analysis</w:t>
            </w:r>
          </w:p>
        </w:tc>
      </w:tr>
      <w:tr>
        <w:trPr>
          <w:cantSplit/>
        </w:trP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biasanya characteristic frequency komponen mesin (BPFI/BPFO bearing, gear mesh); (2) kalikan minimal 5 sebagai margin keamanan; (3) pasang anti-aliasing filter analog; (4) verifikasi dengan FFT pada data contoh,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keepNext/>
        <w:spacing w:before="120" w:after="40"/>
        <w:jc w:val="center"/>
      </w:pPr>
      <w:r>
        <w:drawing>
          <wp:inline xmlns:a="http://schemas.openxmlformats.org/drawingml/2006/main" xmlns:pic="http://schemas.openxmlformats.org/drawingml/2006/picture">
            <wp:extent cx="3960000" cy="2703922"/>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3960000" cy="2703922"/>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w:t>
      </w:r>
      <w:r>
        <w:rPr>
          <w:rFonts w:ascii="Arial" w:hAnsi="Arial" w:cs="Arial"/>
          <w:b w:val="0"/>
          <w:i w:val="0"/>
          <w:sz w:val="22"/>
        </w:rPr>
        <w:t>foto burst 10 fps = sampling 10 sampel/detik. Memotret burung yang mengepak 8 kali per detik butuh burst di atas 16 fps (Nyquist); pada 5 fps kepakan tampak bergerak lambat atau terbalik;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yaitu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w:t>
      </w:r>
      <w:r>
        <w:rPr>
          <w:rFonts w:ascii="Arial" w:hAnsi="Arial" w:cs="Arial"/>
          <w:b w:val="0"/>
          <w:i w:val="0"/>
          <w:sz w:val="22"/>
        </w:rPr>
        <w:t>CD memakai 44,1 kHz,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w:t>
      </w:r>
      <w:r>
        <w:rPr>
          <w:rFonts w:ascii="Arial" w:hAnsi="Arial" w:cs="Arial"/>
          <w:b w:val="0"/>
          <w:i w:val="0"/>
          <w:sz w:val="22"/>
        </w:rPr>
        <w:t>EKG adalah time series tegangan jantung; detak normal berpuncak P-QRS-T tegas dengan rata-rata rendah = crest factor tinggi. Aritmia mengubah CF dramatis,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w:t>
      </w:r>
      <w:r>
        <w:rPr>
          <w:rFonts w:ascii="Arial" w:hAnsi="Arial" w:cs="Arial"/>
          <w:b w:val="0"/>
          <w:i w:val="0"/>
          <w:sz w:val="22"/>
        </w:rPr>
        <w:t>BMKG mengukur fenomena pada resolusi berbeda: petir (milidetik) butuh sensor cepat, pergeseran musim cukup data mingguan;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mulai dari orde Hz untuk suhu/tekanan hingga orde MHz untuk acoustic emission.</w:t>
      </w:r>
    </w:p>
    <w:p>
      <w:pPr>
        <w:keepNext/>
        <w:spacing w:before="120" w:after="40"/>
        <w:jc w:val="center"/>
      </w:pPr>
      <w:r>
        <w:drawing>
          <wp:inline xmlns:a="http://schemas.openxmlformats.org/drawingml/2006/main" xmlns:pic="http://schemas.openxmlformats.org/drawingml/2006/picture">
            <wp:extent cx="4536000" cy="2705536"/>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4536000" cy="2705536"/>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w:t>
      </w:r>
      <w:r>
        <w:rPr>
          <w:rFonts w:ascii="Arial" w:hAnsi="Arial" w:cs="Arial"/>
          <w:b w:val="0"/>
          <w:i w:val="0"/>
          <w:sz w:val="22"/>
        </w:rPr>
        <w:t>akselerometer pada housing motor, sampling 10 kHz (menangkap sampai 5 kHz),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w:t>
      </w:r>
      <w:r>
        <w:rPr>
          <w:rFonts w:ascii="Arial" w:hAnsi="Arial" w:cs="Arial"/>
          <w:b w:val="0"/>
          <w:i w:val="0"/>
          <w:sz w:val="22"/>
        </w:rPr>
        <w:t>sensor arus-tegangan motor 3 fasa, 25,6 kHz: fundamental 50 Hz plus harmonik. THD = √(ΣVn²)/V1 di atas 5% berarti kualitas daya buruk sehingga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matplotlib, scipy, statsmodels; notebook p1_pengantar_time_series.ipynb. Gambar 8 menunjukkan cuplikan Cell 3 yang menghitung lima statistik dasar.</w:t>
      </w:r>
    </w:p>
    <w:p>
      <w:pPr>
        <w:keepNext/>
        <w:spacing w:before="200" w:after="80"/>
      </w:pPr>
      <w:r>
        <w:rPr>
          <w:rFonts w:ascii="Arial" w:hAnsi="Arial" w:cs="Arial"/>
          <w:b/>
          <w:i w:val="0"/>
          <w:color w:val="2E4A7A"/>
          <w:sz w:val="24"/>
        </w:rPr>
        <w:t>Cell 1: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f1, f2, f3 = 25, 60, 120       # Hz</w:t>
      </w:r>
    </w:p>
    <w:p>
      <w:pPr>
        <w:shd w:val="clear" w:fill="F4F4F4"/>
        <w:spacing w:line="240" w:lineRule="auto" w:after="0"/>
        <w:ind w:left="227"/>
      </w:pPr>
      <w:r>
        <w:rPr>
          <w:rFonts w:ascii="Consolas" w:hAnsi="Consolas" w:cs="Consolas"/>
          <w:b w:val="0"/>
          <w:i w:val="0"/>
          <w:sz w:val="17"/>
        </w:rPr>
        <w:t>A1, A2, A3 = 1.0, 0.5, 0.25</w:t>
      </w:r>
    </w:p>
    <w:p>
      <w:pPr>
        <w:shd w:val="clear" w:fill="F4F4F4"/>
        <w:spacing w:line="240" w:lineRule="auto" w:after="0"/>
        <w:ind w:left="227"/>
      </w:pPr>
      <w:r>
        <w:rPr>
          <w:rFonts w:ascii="Consolas" w:hAnsi="Consolas" w:cs="Consolas"/>
          <w:b w:val="0"/>
          <w:i w:val="0"/>
          <w:sz w:val="17"/>
        </w:rPr>
        <w:t>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Efek Sampling Rate &amp; Aliasing</w:t>
      </w:r>
    </w:p>
    <w:p>
      <w:pPr>
        <w:shd w:val="clear" w:fill="F4F4F4"/>
        <w:spacing w:line="240" w:lineRule="auto" w:after="0"/>
        <w:ind w:left="227"/>
      </w:pPr>
      <w:r>
        <w:rPr>
          <w:rFonts w:ascii="Consolas" w:hAnsi="Consolas" w:cs="Consolas"/>
          <w:b w:val="0"/>
          <w:i w:val="0"/>
          <w:sz w:val="17"/>
        </w:rPr>
        <w:t>f_signal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t_cont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for fs_i, lbl in [(60, 'Under (60 Hz) -&gt;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n_i = int(fs_i * T)</w:t>
      </w:r>
    </w:p>
    <w:p>
      <w:pPr>
        <w:shd w:val="clear" w:fill="F4F4F4"/>
        <w:spacing w:line="240" w:lineRule="auto" w:after="0"/>
        <w:ind w:left="227"/>
      </w:pPr>
      <w:r>
        <w:rPr>
          <w:rFonts w:ascii="Consolas" w:hAnsi="Consolas" w:cs="Consolas"/>
          <w:b w:val="0"/>
          <w:i w:val="0"/>
          <w:sz w:val="17"/>
        </w:rPr>
        <w:t xml:space="preserve">    t_i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cf_val   = peak_val / rms_val</w:t>
      </w:r>
    </w:p>
    <w:p>
      <w:pPr>
        <w:shd w:val="clear" w:fill="F4F4F4"/>
        <w:spacing w:line="240" w:lineRule="auto" w:after="0"/>
        <w:ind w:left="227"/>
      </w:pPr>
      <w:r>
        <w:rPr>
          <w:rFonts w:ascii="Consolas" w:hAnsi="Consolas" w:cs="Consolas"/>
          <w:b w:val="0"/>
          <w:i w:val="0"/>
          <w:sz w:val="17"/>
        </w:rPr>
        <w:t>print(f"Mean : {mean_val:8.4f}  (AC signal -&gt;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print(f"Std  : {std_val:8.4f}  (mean 0 -&gt;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print(f"CF   : {cf_val:8.4f}  (sinus murni 1.41; &gt;4 = impulsif)")</w:t>
      </w:r>
    </w:p>
    <w:p>
      <w:pPr>
        <w:keepNext/>
        <w:spacing w:before="120" w:after="40"/>
        <w:jc w:val="center"/>
      </w:pPr>
      <w:r>
        <w:drawing>
          <wp:inline xmlns:a="http://schemas.openxmlformats.org/drawingml/2006/main" xmlns:pic="http://schemas.openxmlformats.org/drawingml/2006/picture">
            <wp:extent cx="4752000" cy="270993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52000" cy="2709937"/>
                    </a:xfrm>
                    <a:prstGeom prst="rect"/>
                  </pic:spPr>
                </pic:pic>
              </a:graphicData>
            </a:graphic>
          </wp:inline>
        </w:drawing>
      </w:r>
    </w:p>
    <w:p>
      <w:pPr>
        <w:spacing w:after="200"/>
        <w:jc w:val="center"/>
      </w:pPr>
      <w:r>
        <w:rPr>
          <w:rFonts w:ascii="Arial" w:hAnsi="Arial" w:cs="Arial"/>
          <w:b w:val="0"/>
          <w:i/>
          <w:color w:val="444444"/>
          <w:sz w:val="20"/>
        </w:rPr>
        <w:t>Gambar 8. Cuplikan Cell 3: perhitungan lima statistik dasar sinyal dengan NumPy.</w:t>
      </w:r>
    </w:p>
    <w:p>
      <w:pPr>
        <w:keepNext/>
        <w:spacing w:before="200" w:after="80"/>
      </w:pPr>
      <w:r>
        <w:rPr>
          <w:rFonts w:ascii="Arial" w:hAnsi="Arial" w:cs="Arial"/>
          <w:b/>
          <w:i w:val="0"/>
          <w:color w:val="2E4A7A"/>
          <w:sz w:val="24"/>
        </w:rPr>
        <w:t>Cell 4: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trend    = 0.05 * t</w:t>
      </w:r>
    </w:p>
    <w:p>
      <w:pPr>
        <w:shd w:val="clear" w:fill="F4F4F4"/>
        <w:spacing w:line="240" w:lineRule="auto" w:after="0"/>
        <w:ind w:left="227"/>
      </w:pPr>
      <w:r>
        <w:rPr>
          <w:rFonts w:ascii="Consolas" w:hAnsi="Consolas" w:cs="Consolas"/>
          <w:b w:val="0"/>
          <w:i w:val="0"/>
          <w:sz w:val="17"/>
        </w:rPr>
        <w:t>seasonal = 3.0 * 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dengan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keepNext/>
        <w:spacing w:before="120" w:after="40"/>
        <w:jc w:val="center"/>
      </w:pPr>
      <w:r>
        <w:drawing>
          <wp:inline xmlns:a="http://schemas.openxmlformats.org/drawingml/2006/main" xmlns:pic="http://schemas.openxmlformats.org/drawingml/2006/picture">
            <wp:extent cx="3671999" cy="271156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3671999" cy="2711561"/>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 RMS; bagi hasil peak (soal C4) dengan hasil RMS (soal C2).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w:t>
      </w:r>
      <w:r>
        <w:rPr>
          <w:rFonts w:ascii="Arial" w:hAnsi="Arial" w:cs="Arial"/>
          <w:b w:val="0"/>
          <w:i w:val="0"/>
          <w:sz w:val="22"/>
        </w:rPr>
        <w:t>Hitung frekuensi Nyquist untuk sampling rate fs = 10000 Hz. Cetak nilai dalam Hz: f_N = f_s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f_s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w:t>
      </w:r>
      <w:r>
        <w:rPr>
          <w:rFonts w:ascii="Arial" w:hAnsi="Arial" w:cs="Arial"/>
          <w:b w:val="0"/>
          <w:i w:val="0"/>
          <w:sz w:val="22"/>
        </w:rPr>
        <w:t>Hitung periode sampling (Δt) dalam milisekon untuk sampling rate fs = 1000 Hz. Δt = 1/f_s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Δt = 1 ÷ f_s (detik); kalikan 1000 untuk milisekon. Masukkan f_s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w:t>
      </w:r>
      <w:r>
        <w:rPr>
          <w:rFonts w:ascii="Arial" w:hAnsi="Arial" w:cs="Arial"/>
          <w:b w:val="0"/>
          <w:i w:val="0"/>
          <w:sz w:val="22"/>
        </w:rPr>
        <w:t>Hitung jumlah sampel total yang dihasilkan oleh sensor dengan sampling rate fs = 2000 Hz selama durasi 5 detik. Rumus: N = f_s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f_s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w:t>
      </w:r>
      <w:r>
        <w:rPr>
          <w:rFonts w:ascii="Arial" w:hAnsi="Arial" w:cs="Arial"/>
          <w:b w:val="0"/>
          <w:i w:val="0"/>
          <w:sz w:val="22"/>
        </w:rPr>
        <w:t>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w:t>
      </w:r>
      <w:r>
        <w:rPr>
          <w:rFonts w:ascii="Arial" w:hAnsi="Arial" w:cs="Arial"/>
          <w:b w:val="0"/>
          <w:i w:val="0"/>
          <w:sz w:val="22"/>
        </w:rPr>
        <w:t>Hitung Signal-to-Noise Ratio (SNR) dalam dB dari sinyal dengan power signal Ps = 100 dan power noise Pn = 1. Rumus: SNR_dB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w:t>
      </w:r>
      <w:r>
        <w:rPr>
          <w:rFonts w:ascii="Arial" w:hAnsi="Arial" w:cs="Arial"/>
          <w:b w:val="0"/>
          <w:i w:val="0"/>
          <w:sz w:val="22"/>
        </w:rPr>
        <w:t>Implementasikan perhitungan RMS teoritis dari sinyal multi-frekuensi berdasarkan amplitudonya (rumus Parseval). Untuk dataset referensi (3 sinusoid A1=1.0, A2=0.5, A3=0.25 + noise σ=0.15), gunakan formula: RMS_total = √(Σ(A_i²/2)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Tiap sinusoid menyumbang power A_i²/2;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w:t>
      </w:r>
      <w:r>
        <w:rPr>
          <w:rFonts w:ascii="Arial" w:hAnsi="Arial" w:cs="Arial"/>
          <w:b w:val="0"/>
          <w:i w:val="0"/>
          <w:sz w:val="22"/>
        </w:rPr>
        <w:t>Implementasikan demonstrasi aliasing dari awal. Generate sinyal 50 Hz murni dengan resolusi tinggi (5000 sampel/detik selama 0.1 detik) → kemudian sampel-ulang pada frekuensi under-Nyquist 60 Hz. Hitung frekuensi alias yang muncul menggunakan rumus: f_alias = |f_signal - k·fs_under|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Generate sinyal kontinu beresolusi tinggi, lalu downsampel ke fs under-Nyquist. Frekuensi alias = |f_signal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w:t>
      </w:r>
      <w:r>
        <w:rPr>
          <w:rFonts w:ascii="Arial" w:hAnsi="Arial" w:cs="Arial"/>
          <w:b w:val="0"/>
          <w:i w:val="0"/>
          <w:sz w:val="22"/>
        </w:rPr>
        <w:t>Hitung Total Harmonic Distortion (THD) dari dataset referensi. THD adalah rasio RMS semua harmonik (A2, A3) terhadap RMS fundamental (A1), dalam persen. Rumus: THD% = √(Σ A_h²/2) / (A_1/√2)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fundamental = A1/√2; RMS harmonik = √(Σ A_h²/2)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Box, G. E. P., &amp; Cox, D. R. (1964). An analysis of transformations. Journal of the Royal Statistical Society: Series B (Methodological), 26(2), 211–252.</w:t>
      </w:r>
    </w:p>
    <w:p>
      <w:pPr>
        <w:spacing w:line="360" w:lineRule="auto" w:after="120"/>
        <w:ind w:left="567" w:hanging="567"/>
      </w:pPr>
      <w:r>
        <w:rPr>
          <w:rFonts w:ascii="Arial" w:hAnsi="Arial" w:cs="Arial"/>
          <w:b w:val="0"/>
          <w:i w:val="0"/>
          <w:sz w:val="22"/>
        </w:rPr>
        <w:t>Cleveland, R. B., Cleveland, W. S., McRae, J. E., &amp; Terpenning, I. (1990). STL: A seasonal-trend decomposition procedure based on loess. Journal of Official Statistics, 6(1), 3–73.</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Mohanty, A. R. (2015). Machinery condition monitoring: Principles and practices. CRC Press.</w:t>
      </w:r>
    </w:p>
    <w:p>
      <w:pPr>
        <w:spacing w:line="360" w:lineRule="auto" w:after="120"/>
        <w:ind w:left="567" w:hanging="567"/>
      </w:pPr>
      <w:r>
        <w:rPr>
          <w:rFonts w:ascii="Arial" w:hAnsi="Arial" w:cs="Arial"/>
          <w:b w:val="0"/>
          <w:i w:val="0"/>
          <w:sz w:val="22"/>
        </w:rPr>
        <w:t>Seabold, S., &amp; Perktold, J. (2010). Statsmodels: Econometric and statistical modeling with Python. Proceedings of the 9th Python in Science Conference, 92–96.</w:t>
      </w:r>
      <w:r>
        <w:rPr>
          <w:rFonts w:ascii="Arial" w:hAnsi="Arial" w:cs="Arial"/>
          <w:b w:val="0"/>
          <w:i w:val="0"/>
          <w:color w:val="0563C1"/>
          <w:sz w:val="21"/>
        </w:rPr>
        <w:t xml:space="preserve"> https://www.statsmodels.org/stable/tsa.html</w:t>
      </w:r>
    </w:p>
    <w:p>
      <w:pPr>
        <w:spacing w:line="360" w:lineRule="auto" w:after="120"/>
        <w:ind w:left="567" w:hanging="567"/>
      </w:pPr>
      <w:r>
        <w:rPr>
          <w:rFonts w:ascii="Arial" w:hAnsi="Arial" w:cs="Arial"/>
          <w:b w:val="0"/>
          <w:i w:val="0"/>
          <w:sz w:val="22"/>
        </w:rPr>
        <w:t>Pedregosa, F., et al. (2011). Scikit-learn: Machine learning in Python. Journal of Machine Learning Research, 12, 2825–2830.</w:t>
      </w:r>
      <w:r>
        <w:rPr>
          <w:rFonts w:ascii="Arial" w:hAnsi="Arial" w:cs="Arial"/>
          <w:b w:val="0"/>
          <w:i w:val="0"/>
          <w:color w:val="0563C1"/>
          <w:sz w:val="21"/>
        </w:rPr>
        <w:t xml:space="preserve"> https://scikit-learn.org/stable/modules/preprocessing.html</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