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IF condition THEN action      ISO 10816-3 Zona A|B|C|D      </w:t>
      </w:r>
      <w:r>
        <w:rPr>
          <w:rFonts w:ascii="Arial" w:hAnsi="Arial" w:cs="Arial"/>
          <w:b/>
          <w:i/>
          <w:color w:val="305496"/>
          <w:sz w:val="22"/>
        </w:rPr>
        <w:t xml:space="preserve">RMS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v</w:t>
      </w:r>
      <w:r>
        <w:rPr>
          <w:rFonts w:ascii="Arial" w:hAnsi="Arial" w:cs="Arial"/>
          <w:b/>
          <w:i/>
          <w:color w:val="305496"/>
          <w:sz w:val="22"/>
        </w:rPr>
        <w:t xml:space="preserve"> = √(mean(v²)) di band 10Hz-1kHz</w:t>
      </w:r>
      <w:r>
        <w:rPr>
          <w:rFonts w:ascii="Arial" w:hAnsi="Arial" w:cs="Arial"/>
          <w:b/>
          <w:i/>
          <w:color w:val="305496"/>
          <w:sz w:val="22"/>
        </w:rPr>
        <w:t xml:space="preserve">   (1)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≤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Hysteresis: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on</w:t>
      </w:r>
      <w:r>
        <w:rPr>
          <w:rFonts w:ascii="Arial" w:hAnsi="Arial" w:cs="Arial"/>
          <w:b/>
          <w:i/>
          <w:color w:val="305496"/>
          <w:sz w:val="22"/>
        </w:rPr>
        <w:t xml:space="preserve"> &gt;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off</w:t>
      </w:r>
      <w:r>
        <w:rPr>
          <w:rFonts w:ascii="Arial" w:hAnsi="Arial" w:cs="Arial"/>
          <w:b/>
          <w:i/>
          <w:color w:val="305496"/>
          <w:sz w:val="22"/>
        </w:rPr>
        <w:t xml:space="preserve">      Tier alarm: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warn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alert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crit</w:t>
      </w:r>
      <w:r>
        <w:rPr>
          <w:rFonts w:ascii="Arial" w:hAnsi="Arial" w:cs="Arial"/>
          <w:b/>
          <w:i/>
          <w:color w:val="305496"/>
          <w:sz w:val="22"/>
        </w:rPr>
        <w:t xml:space="preserve">      Alarm flood prevention: ≤ 1 alarm/10 menit</w:t>
      </w:r>
      <w:r>
        <w:rPr>
          <w:rFonts w:ascii="Arial" w:hAnsi="Arial" w:cs="Arial"/>
          <w:b/>
          <w:i/>
          <w:color w:val="305496"/>
          <w:sz w:val="22"/>
        </w:rPr>
        <w:t xml:space="preserve">   (2)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 xml:space="preserve">Ketika sinyal berosilasi tepat di sekitar satu threshold tunggal, sistem alerting dapat memicu ratusan alert per menit (chattering), membanjiri operator dengan notifikasi palsu. Solusinya adalah hysteresis (Otto Schmitt, 1934): memakai dua threshold,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memicu status ON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&lt;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3 membuktikan secara kuantitatif bahwa hysteresis secara drastis menurunkan jumlah transisi status dibanding simple threshold pada sinyal RMS yang identik; margin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Sensor (transducer)      Signal conditioning      ADC resolution      Sampling rate (Nyquist): fs ≥ 2·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max</w:t>
      </w:r>
      <w:r>
        <w:rPr>
          <w:rFonts w:ascii="Arial" w:hAnsi="Arial" w:cs="Arial"/>
          <w:b/>
          <w:i/>
          <w:color w:val="305496"/>
          <w:sz w:val="22"/>
        </w:rPr>
        <w:t xml:space="preserve">      Protokol komunikasi</w:t>
      </w:r>
      <w:r>
        <w:rPr>
          <w:rFonts w:ascii="Arial" w:hAnsi="Arial" w:cs="Arial"/>
          <w:b/>
          <w:i/>
          <w:color w:val="305496"/>
          <w:sz w:val="22"/>
        </w:rPr>
        <w:t xml:space="preserve">   (3)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 xml:space="preserve">Current Transformer mengukur arus motor untuk Motor Current Signature Analysis (MCSA), formula 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secondary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primary</w:t>
      </w:r>
      <w:r>
        <w:rPr>
          <w:rFonts w:ascii="Arial" w:hAnsi="Arial" w:cs="Arial"/>
          <w:b w:val="0"/>
          <w:i w:val="0"/>
          <w:sz w:val="22"/>
        </w:rPr>
        <w:t xml:space="preserve">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 xml:space="preserve">kriteria Nyquist-Shannon: sampling rate fs harus lebih besar dari 2 kali frekuensi maksimum sinyal (fs≥2·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max</w:t>
      </w:r>
      <w:r>
        <w:rPr>
          <w:rFonts w:ascii="Arial" w:hAnsi="Arial" w:cs="Arial"/>
          <w:b w:val="0"/>
          <w:i w:val="0"/>
          <w:sz w:val="22"/>
        </w:rPr>
        <w:t xml:space="preserve">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pipeline akuisisi data lengkap. DAQ hardware terbagi tiga tier: Tier 1 (lab, NI USB-6009/cDAQ), Tier 2 (industrial, Bently Nevada 3500/Emerson AMS), dan Tier 3 (hobby/IoT, Raspberry Π+ADS1115,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7. Sampel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7 menunjukkan potongan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 xml:space="preserve">class `HysteresisAlarm` (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/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RMS velocity (mm/s) di band 10 Hz-1 kHz: A (Good ≤1,4), B (Acceptable ≤2,8), C (Unsatisfactory ≤4,5),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Hindari chattering (alarm berflicker rapid) saat sinyal di sekitar threshold, dengan menggunakan dua threshold: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ON) lebih besar dari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≥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≤ 1 alarm per 10 menit per operator (steady state); ≤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MQTT (sensor pub/sub) → TimescaleDB/InfluxDB (time-series storage) →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ISO 10816-3 Group 2, rigid foundation: Zone A ≤1,4 mm/s, Zone B 1,4-2,8, Zone C 2,8-4,5, Zone D &gt;4,5. Hysteresis: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Threshold ISO 10816-3: A≤1,4, B≤2,8, C≤4,5,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 xml:space="preserve">Untuk threshold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margin hysteresis 0,2, hitung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(threshold untuk transisi kembali ke OFF). Formula: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margin. Sinyal harus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 xml:space="preserve">Hitung persentase uptime (persen time di Zone A "Good") dari 1000 sample dimana 850 sample punya RMS≤1,4.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 xml:space="preserve">Hysteresis state simulation: dengan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Telusuri sequence sample per sample: state berubah ke ON saat melewati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dan ke OFF saat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 xml:space="preserve">Hitung MTTR improvement (persen) kalau MTTR sebelum monitoring=8 jam, setelah monitoring=5,6 jam. Formula: (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sz w:val="22"/>
        </w:rPr>
        <w:t xml:space="preserve">)/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 improvement% =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 dibagi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Implementasikan class dengan dua threshold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/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 xml:space="preserve">Persistence Timer/Escalation Logic: untuk sinyal yang tetap di Zone B selama 12 menit (sample period 30 detik), dengan eskalasi rule "Warning persist &gt; 5 menit →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