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Read CSV/Parquet -&gt;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X_train, X_test, y_train, y_test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Accuracy, F1,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4890528" cy="1800000"/>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4890528" cy="1800000"/>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4065789" cy="3600000"/>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4065789" cy="3600000"/>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keepNext/>
        <w:spacing w:before="120" w:after="40"/>
        <w:jc w:val="center"/>
      </w:pPr>
      <w:r>
        <w:drawing>
          <wp:inline xmlns:a="http://schemas.openxmlformats.org/drawingml/2006/main" xmlns:pic="http://schemas.openxmlformats.org/drawingml/2006/picture">
            <wp:extent cx="3925791" cy="1799999"/>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3925791" cy="1799999"/>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keepNext/>
        <w:spacing w:before="120" w:after="40"/>
        <w:jc w:val="center"/>
      </w:pPr>
      <w:r>
        <w:drawing>
          <wp:inline xmlns:a="http://schemas.openxmlformats.org/drawingml/2006/main" xmlns:pic="http://schemas.openxmlformats.org/drawingml/2006/picture">
            <wp:extent cx="4388255" cy="3600000"/>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4388255" cy="3600000"/>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Gambar 7. Cuplikan kode GridSearchCV untuk tuning hyperparameter Random Forest dengan 5-fold cross-validation.</w:t>
      </w:r>
    </w:p>
    <w:p>
      <w:pPr>
        <w:spacing w:line="360" w:lineRule="auto" w:after="120"/>
        <w:jc w:val="both"/>
      </w:pPr>
      <w:r>
        <w:rPr>
          <w:rFonts w:ascii="Arial" w:hAnsi="Arial" w:cs="Arial"/>
          <w:b w:val="0"/>
          <w:i w:val="0"/>
          <w:sz w:val="22"/>
        </w:rPr>
        <w:t>Gambar 7 menunjukkan cuplikan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