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p>
    <w:p>
      <w:pPr>
        <w:spacing w:before="40" w:after="120"/>
        <w:jc w:val="center"/>
      </w:pPr>
      <w:r>
        <w:rPr>
          <w:rFonts w:ascii="Arial" w:hAnsi="Arial" w:cs="Arial"/>
          <w:b/>
          <w:i/>
          <w:color w:val="305496"/>
          <w:sz w:val="22"/>
        </w:rPr>
        <w:t>LSB = Vrange / 2^N          SNRkuantisasi = 6,02·N + 1,76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12-bit menghasilkan 4096 level (SNR sekitar 74 dB) untuk monitoring umum; 16-bit menghasilkan 65536 level (SNR sekitar 98 dB) sebagai standar vibration; 24-bit Sigma-Delta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p>
    <w:p>
      <w:pPr>
        <w:spacing w:before="40" w:after="120"/>
        <w:jc w:val="center"/>
      </w:pPr>
      <w:r>
        <w:rPr>
          <w:rFonts w:ascii="Arial" w:hAnsi="Arial" w:cs="Arial"/>
          <w:b/>
          <w:i/>
          <w:color w:val="305496"/>
          <w:sz w:val="22"/>
        </w:rPr>
        <w:t>fs ≥ 2·fmaks       falias = |fsinyal − k·fs|</w:t>
      </w:r>
    </w:p>
    <w:p>
      <w:pPr>
        <w:keepNext/>
        <w:spacing w:before="120" w:after="40"/>
        <w:jc w:val="center"/>
      </w:pPr>
      <w:r>
        <w:drawing>
          <wp:inline xmlns:a="http://schemas.openxmlformats.org/drawingml/2006/main" xmlns:pic="http://schemas.openxmlformats.org/drawingml/2006/picture">
            <wp:extent cx="4112924" cy="233999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4112924" cy="233999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p>
    <w:p>
      <w:pPr>
        <w:spacing w:before="40" w:after="120"/>
        <w:jc w:val="center"/>
      </w:pPr>
      <w:r>
        <w:rPr>
          <w:rFonts w:ascii="Arial" w:hAnsi="Arial" w:cs="Arial"/>
          <w:b/>
          <w:i/>
          <w:color w:val="305496"/>
          <w:sz w:val="22"/>
        </w:rPr>
        <w:t>Bandwidth (B/s) = fs · (bits/8) · channels          Storage = Bandwidth · durasi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S3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keepNext/>
        <w:spacing w:before="120" w:after="40"/>
        <w:jc w:val="center"/>
      </w:pPr>
      <w:r>
        <w:drawing>
          <wp:inline xmlns:a="http://schemas.openxmlformats.org/drawingml/2006/main" xmlns:pic="http://schemas.openxmlformats.org/drawingml/2006/picture">
            <wp:extent cx="4508637" cy="3599999"/>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4508637" cy="3599999"/>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cocok untuk 1-beberapa sensor, batasi maksimal sekitar 10 ribu titik ditampilkan (downsampling untuk data lebih besar), beri judul informatif, unit eksplisit pada sumbu, grid transparan (alpha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keepNext/>
        <w:spacing w:before="120" w:after="40"/>
        <w:jc w:val="center"/>
      </w:pPr>
      <w:r>
        <w:drawing>
          <wp:inline xmlns:a="http://schemas.openxmlformats.org/drawingml/2006/main" xmlns:pic="http://schemas.openxmlformats.org/drawingml/2006/picture">
            <wp:extent cx="3310504" cy="2160000"/>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3310504" cy="2160000"/>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keepNext/>
        <w:spacing w:before="120" w:after="40"/>
        <w:jc w:val="center"/>
      </w:pPr>
      <w:r>
        <w:drawing>
          <wp:inline xmlns:a="http://schemas.openxmlformats.org/drawingml/2006/main" xmlns:pic="http://schemas.openxmlformats.org/drawingml/2006/picture">
            <wp:extent cx="4583836" cy="2988000"/>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4583836" cy="2988000"/>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5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keepNext/>
        <w:spacing w:before="120" w:after="40"/>
        <w:jc w:val="center"/>
      </w:pPr>
      <w:r>
        <w:drawing>
          <wp:inline xmlns:a="http://schemas.openxmlformats.org/drawingml/2006/main" xmlns:pic="http://schemas.openxmlformats.org/drawingml/2006/picture">
            <wp:extent cx="5195172" cy="3240000"/>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195172" cy="3240000"/>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6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scipy, matplotlib; notebook p3_visualisasi_akuisisi.ipynb. Gambar 8 menunjukkan cuplikan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568467" cy="3599999"/>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8467" cy="3599999"/>
                    </a:xfrm>
                    <a:prstGeom prst="rect"/>
                  </pic:spPr>
                </pic:pic>
              </a:graphicData>
            </a:graphic>
          </wp:inline>
        </w:drawing>
      </w:r>
    </w:p>
    <w:p>
      <w:pPr>
        <w:spacing w:after="200"/>
        <w:jc w:val="center"/>
      </w:pPr>
      <w:r>
        <w:rPr>
          <w:rFonts w:ascii="Arial" w:hAnsi="Arial" w:cs="Arial"/>
          <w:b w:val="0"/>
          <w:i/>
          <w:color w:val="444444"/>
          <w:sz w:val="20"/>
        </w:rPr>
        <w:t>Gambar 8. Cuplikan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DR = 2^N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Hitung storage requirement dalam MB untuk 1 jam data ADC fs=10 kHz, 16-bit, 1 channel. Konversi: 1 MB = 1024^2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bandwidth x durasi (detik), lalu bagi 1024^2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Dynamic range (dB) = 6,02 x N_bits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Hitung LSB (Least Significant Bit) dalam microvolt untuk ADC ±10V (rentang 20V), 16-bit. Rumus: LSB = Vrange / 2^N,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LSB = rentang tegangan / 2^N;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Hitung storage requirement edge tier dalam GB untuk arsitektur: 8 motor, fs=10 kHz, 16-bit, retensi 15 hari. Rumus: storage_GB = fs · (bits/8) · channels · detik_per_hari · hari / 1024^3.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Storage = fs x (bits/8) x channel x detik_per_hari x jumlah_hari, lalu bagi 1024^3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