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r>
        <w:rPr>
          <w:rFonts w:ascii="Arial" w:hAnsi="Arial" w:cs="Arial"/>
          <w:b/>
          <w:i/>
          <w:color w:val="305496"/>
          <w:sz w:val="22"/>
        </w:rPr>
        <w:t xml:space="preserve">   (1)</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Identitas penting: RMS² = μ² + σ²  (untuk sinyal AC-coupled dengan μ≈0, RMS ≈ σ)</w:t>
      </w:r>
      <w:r>
        <w:rPr>
          <w:rFonts w:ascii="Arial" w:hAnsi="Arial" w:cs="Arial"/>
          <w:b/>
          <w:i/>
          <w:color w:val="305496"/>
          <w:sz w:val="22"/>
        </w:rPr>
        <w:t xml:space="preserve">   (2)</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r>
        <w:rPr>
          <w:rFonts w:ascii="Arial" w:hAnsi="Arial" w:cs="Arial"/>
          <w:b w:val="0"/>
          <w:i w:val="0"/>
          <w:sz w:val="22"/>
        </w:rPr>
        <w:t xml:space="preserve"> Persamaan (3) memadatkan aturan tersebut.</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 xml:space="preserve">Untuk sinyal noise Gaussian murni berlaku hubungan pendekatan: |x|avg ≈ 0,798·RMS, xpeak ≈ 3·RMS (aturan 3-σ),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 (μ)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r>
        <w:rPr>
          <w:rFonts w:ascii="Arial" w:hAnsi="Arial" w:cs="Arial"/>
          <w:b/>
          <w:i/>
          <w:color w:val="305496"/>
          <w:sz w:val="22"/>
        </w:rPr>
        <w:t xml:space="preserve">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 xml:space="preserve">sinusoidal murni menghasilkan CF=√(2)≈1,414; noise Gaussian menghasilkan CF≈3-4; CF&gt;4-5 menandakan impak transien atau kerusakan bearing tahap awal; CF merupakan leading indicator yang naik sebelum RMS ikut naik.</w:t>
      </w:r>
      <w:r>
        <w:rPr>
          <w:rFonts w:ascii="Arial" w:hAnsi="Arial" w:cs="Arial"/>
          <w:b w:val="0"/>
          <w:i w:val="0"/>
          <w:sz w:val="22"/>
        </w:rPr>
        <w:t xml:space="preserve"> Rangkuman kuantitatifnya tertulis pada Persamaan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r>
        <w:rPr>
          <w:rFonts w:ascii="Arial" w:hAnsi="Arial" w:cs="Arial"/>
          <w:b w:val="0"/>
          <w:i w:val="0"/>
          <w:sz w:val="22"/>
        </w:rPr>
        <w:t xml:space="preserve"> Perhatikan ilustrasinya pada Gambar 3.</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 xml:space="preserve">nilai "220V RMS" pada listrik rumah sebenarnya berasal dari tegangan puncak sekitar ±311V; RMS=311/√(2)=220V,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sinyal bearing sintetis. Lingkungan: conda env optoauto dengan paket numpy, scipy, matplotlib; notebook p6_fitur_domain_waktu.ipynb. Gambar 5 menunjukkan sampel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 xml:space="preserve">Gambar 5. Sampel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π</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 xml:space="preserve">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RMS sinyal x menggunakan formula √((1/N)Σxi²).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simulasi degradasi bearing: untuk progress p dalam {0.0, 0.5, 1.0}, generate sinyal sig = sin(2·π·30·t) + 0,4·(1+2p)·np.random.randn(N) dengan tambahan int(100·p) impak transien (decay x sin(2·π·2000·t))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klasifikasi healthy vs faulty berbasis threshold: untuk dataset referensi, injeksikan 5 impak besar di indeks [100,250,400,600,850] dengan amplitudo +5,0 (single sample) menjadi </w:t>
      </w:r>
      <w:r>
        <w:rPr>
          <w:rFonts w:ascii="Arial" w:hAnsi="Arial" w:cs="Arial"/>
          <w:b w:val="0"/>
          <w:i w:val="0"/>
          <w:sz w:val="22"/>
        </w:rPr>
        <w:t xml:space="preserve">x</w:t>
      </w:r>
      <w:r>
        <w:rPr>
          <w:rFonts w:ascii="Arial" w:hAnsi="Arial" w:cs="Arial"/>
          <w:b w:val="0"/>
          <w:i w:val="0"/>
          <w:sz w:val="22"/>
          <w:vertAlign w:val="subscript"/>
        </w:rPr>
        <w:t xml:space="preserve">faulty</w:t>
      </w:r>
      <w:r>
        <w:rPr>
          <w:rFonts w:ascii="Arial" w:hAnsi="Arial" w:cs="Arial"/>
          <w:b w:val="0"/>
          <w:i w:val="0"/>
          <w:sz w:val="22"/>
        </w:rPr>
        <w:t xml:space="preserve">. Hitung kurtosis x dan </w:t>
      </w:r>
      <w:r>
        <w:rPr>
          <w:rFonts w:ascii="Arial" w:hAnsi="Arial" w:cs="Arial"/>
          <w:b w:val="0"/>
          <w:i w:val="0"/>
          <w:sz w:val="22"/>
        </w:rPr>
        <w:t xml:space="preserve">x</w:t>
      </w:r>
      <w:r>
        <w:rPr>
          <w:rFonts w:ascii="Arial" w:hAnsi="Arial" w:cs="Arial"/>
          <w:b w:val="0"/>
          <w:i w:val="0"/>
          <w:sz w:val="22"/>
          <w:vertAlign w:val="subscript"/>
        </w:rPr>
        <w:t xml:space="preserve">faulty</w:t>
      </w:r>
      <w:r>
        <w:rPr>
          <w:rFonts w:ascii="Arial" w:hAnsi="Arial" w:cs="Arial"/>
          <w:b w:val="0"/>
          <w:i w:val="0"/>
          <w:sz w:val="22"/>
        </w:rPr>
        <w:t xml:space="preserve">.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RMS bersifat linear terhadap skala: RMS(α·x)=α·RMS(x),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6"/>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