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Bootstrap sampling      Random feature subset (akar(n))      Majority voting      n_estimators      feature_importances_      Out-of-bag (OOB) error</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Diperkenalkan Leo Breiman (2001), Random Forest membangun banyak decision tree, masing-masing dilatih pada bootstrap sample (sampling dengan pengembalian) dan hanya mempertimbangkan subset fitur acak (biasanya akar(jumlah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Tahap Workflow</w:t>
            </w:r>
          </w:p>
        </w:tc>
        <w:tc>
          <w:tcPr>
            <w:tcW w:type="dxa" w:w="2197"/>
            <w:shd w:val="clear" w:fill="DCE4F1"/>
          </w:tcPr>
          <w:p>
            <w:pPr>
              <w:keepNext/>
              <w:spacing w:after="0"/>
            </w:pPr>
            <w:r>
              <w:rPr>
                <w:rFonts w:ascii="Arial" w:hAnsi="Arial" w:cs="Arial"/>
                <w:b/>
                <w:i w:val="0"/>
                <w:sz w:val="19"/>
              </w:rPr>
              <w:t>Aksi</w:t>
            </w:r>
          </w:p>
        </w:tc>
        <w:tc>
          <w:tcPr>
            <w:tcW w:type="dxa" w:w="2197"/>
            <w:shd w:val="clear" w:fill="DCE4F1"/>
          </w:tcPr>
          <w:p>
            <w:pPr>
              <w:keepNext/>
              <w:spacing w:after="0"/>
            </w:pPr>
            <w:r>
              <w:rPr>
                <w:rFonts w:ascii="Arial" w:hAnsi="Arial" w:cs="Arial"/>
                <w:b/>
                <w:i w:val="0"/>
                <w:sz w:val="19"/>
              </w:rPr>
              <w:t>scikit-learn API</w:t>
            </w:r>
          </w:p>
        </w:tc>
        <w:tc>
          <w:tcPr>
            <w:tcW w:type="dxa" w:w="2197"/>
            <w:shd w:val="clear" w:fill="DCE4F1"/>
          </w:tcPr>
          <w:p>
            <w:pPr>
              <w:keepNext/>
              <w:spacing w:after="0"/>
            </w:pPr>
            <w:r>
              <w:rPr>
                <w:rFonts w:ascii="Arial" w:hAnsi="Arial" w:cs="Arial"/>
                <w:b/>
                <w:i w:val="0"/>
                <w:sz w:val="19"/>
              </w:rPr>
              <w:t>Output</w:t>
            </w:r>
          </w:p>
        </w:tc>
      </w:tr>
      <w:tr>
        <w:trPr>
          <w:cantSplit/>
        </w:trPr>
        <w:tc>
          <w:tcPr>
            <w:tcW w:type="dxa" w:w="2197"/>
          </w:tcPr>
          <w:p>
            <w:pPr>
              <w:keepNext/>
              <w:spacing w:after="0"/>
            </w:pPr>
            <w:r>
              <w:rPr>
                <w:rFonts w:ascii="Arial" w:hAnsi="Arial" w:cs="Arial"/>
                <w:b w:val="0"/>
                <w:i w:val="0"/>
                <w:sz w:val="19"/>
              </w:rPr>
              <w:t>1. Load data</w:t>
            </w:r>
          </w:p>
        </w:tc>
        <w:tc>
          <w:tcPr>
            <w:tcW w:type="dxa" w:w="2197"/>
          </w:tcPr>
          <w:p>
            <w:pPr>
              <w:keepNext/>
              <w:spacing w:after="0"/>
            </w:pPr>
            <w:r>
              <w:rPr>
                <w:rFonts w:ascii="Arial" w:hAnsi="Arial" w:cs="Arial"/>
                <w:b w:val="0"/>
                <w:i w:val="0"/>
                <w:sz w:val="19"/>
              </w:rPr>
              <w:t>Read CSV/Parquet -&gt; DataFrame</w:t>
            </w:r>
          </w:p>
        </w:tc>
        <w:tc>
          <w:tcPr>
            <w:tcW w:type="dxa" w:w="2197"/>
          </w:tcPr>
          <w:p>
            <w:pPr>
              <w:keepNext/>
              <w:spacing w:after="0"/>
            </w:pPr>
            <w:r>
              <w:rPr>
                <w:rFonts w:ascii="Arial" w:hAnsi="Arial" w:cs="Arial"/>
                <w:b w:val="0"/>
                <w:i w:val="0"/>
                <w:sz w:val="19"/>
              </w:rPr>
              <w:t>pd.read_csv()</w:t>
            </w:r>
          </w:p>
        </w:tc>
        <w:tc>
          <w:tcPr>
            <w:tcW w:type="dxa" w:w="2197"/>
          </w:tcPr>
          <w:p>
            <w:pPr>
              <w:keepNext/>
              <w:spacing w:after="0"/>
            </w:pPr>
            <w:r>
              <w:rPr>
                <w:rFonts w:ascii="Arial" w:hAnsi="Arial" w:cs="Arial"/>
                <w:b w:val="0"/>
                <w:i w:val="0"/>
                <w:sz w:val="19"/>
              </w:rPr>
              <w:t>X, y arrays</w:t>
            </w:r>
          </w:p>
        </w:tc>
      </w:tr>
      <w:tr>
        <w:trPr>
          <w:cantSplit/>
        </w:trPr>
        <w:tc>
          <w:tcPr>
            <w:tcW w:type="dxa" w:w="2197"/>
          </w:tcPr>
          <w:p>
            <w:pPr>
              <w:keepNext/>
              <w:spacing w:after="0"/>
            </w:pPr>
            <w:r>
              <w:rPr>
                <w:rFonts w:ascii="Arial" w:hAnsi="Arial" w:cs="Arial"/>
                <w:b w:val="0"/>
                <w:i w:val="0"/>
                <w:sz w:val="19"/>
              </w:rPr>
              <w:t>2. Preprocess</w:t>
            </w:r>
          </w:p>
        </w:tc>
        <w:tc>
          <w:tcPr>
            <w:tcW w:type="dxa" w:w="2197"/>
          </w:tcPr>
          <w:p>
            <w:pPr>
              <w:keepNext/>
              <w:spacing w:after="0"/>
            </w:pPr>
            <w:r>
              <w:rPr>
                <w:rFonts w:ascii="Arial" w:hAnsi="Arial" w:cs="Arial"/>
                <w:b w:val="0"/>
                <w:i w:val="0"/>
                <w:sz w:val="19"/>
              </w:rPr>
              <w:t>Standardize, encode, impute</w:t>
            </w:r>
          </w:p>
        </w:tc>
        <w:tc>
          <w:tcPr>
            <w:tcW w:type="dxa" w:w="2197"/>
          </w:tcPr>
          <w:p>
            <w:pPr>
              <w:keepNext/>
              <w:spacing w:after="0"/>
            </w:pPr>
            <w:r>
              <w:rPr>
                <w:rFonts w:ascii="Arial" w:hAnsi="Arial" w:cs="Arial"/>
                <w:b w:val="0"/>
                <w:i w:val="0"/>
                <w:sz w:val="19"/>
              </w:rPr>
              <w:t>StandardScaler, OneHotEncoder</w:t>
            </w:r>
          </w:p>
        </w:tc>
        <w:tc>
          <w:tcPr>
            <w:tcW w:type="dxa" w:w="2197"/>
          </w:tcPr>
          <w:p>
            <w:pPr>
              <w:keepNext/>
              <w:spacing w:after="0"/>
            </w:pPr>
            <w:r>
              <w:rPr>
                <w:rFonts w:ascii="Arial" w:hAnsi="Arial" w:cs="Arial"/>
                <w:b w:val="0"/>
                <w:i w:val="0"/>
                <w:sz w:val="19"/>
              </w:rPr>
              <w:t>X_scaled</w:t>
            </w:r>
          </w:p>
        </w:tc>
      </w:tr>
      <w:tr>
        <w:trPr>
          <w:cantSplit/>
        </w:trPr>
        <w:tc>
          <w:tcPr>
            <w:tcW w:type="dxa" w:w="2197"/>
          </w:tcPr>
          <w:p>
            <w:pPr>
              <w:keepNext/>
              <w:spacing w:after="0"/>
            </w:pPr>
            <w:r>
              <w:rPr>
                <w:rFonts w:ascii="Arial" w:hAnsi="Arial" w:cs="Arial"/>
                <w:b w:val="0"/>
                <w:i w:val="0"/>
                <w:sz w:val="19"/>
              </w:rPr>
              <w:t>3. Split</w:t>
            </w:r>
          </w:p>
        </w:tc>
        <w:tc>
          <w:tcPr>
            <w:tcW w:type="dxa" w:w="2197"/>
          </w:tcPr>
          <w:p>
            <w:pPr>
              <w:keepNext/>
              <w:spacing w:after="0"/>
            </w:pPr>
            <w:r>
              <w:rPr>
                <w:rFonts w:ascii="Arial" w:hAnsi="Arial" w:cs="Arial"/>
                <w:b w:val="0"/>
                <w:i w:val="0"/>
                <w:sz w:val="19"/>
              </w:rPr>
              <w:t>Train/test 80/20 stratified</w:t>
            </w:r>
          </w:p>
        </w:tc>
        <w:tc>
          <w:tcPr>
            <w:tcW w:type="dxa" w:w="2197"/>
          </w:tcPr>
          <w:p>
            <w:pPr>
              <w:keepNext/>
              <w:spacing w:after="0"/>
            </w:pPr>
            <w:r>
              <w:rPr>
                <w:rFonts w:ascii="Arial" w:hAnsi="Arial" w:cs="Arial"/>
                <w:b w:val="0"/>
                <w:i w:val="0"/>
                <w:sz w:val="19"/>
              </w:rPr>
              <w:t>train_test_split(stratify=y)</w:t>
            </w:r>
          </w:p>
        </w:tc>
        <w:tc>
          <w:tcPr>
            <w:tcW w:type="dxa" w:w="2197"/>
          </w:tcPr>
          <w:p>
            <w:pPr>
              <w:keepNext/>
              <w:spacing w:after="0"/>
            </w:pPr>
            <w:r>
              <w:rPr>
                <w:rFonts w:ascii="Arial" w:hAnsi="Arial" w:cs="Arial"/>
                <w:b w:val="0"/>
                <w:i w:val="0"/>
                <w:sz w:val="19"/>
              </w:rPr>
              <w:t>X_train, X_test, y_train, y_test</w:t>
            </w:r>
          </w:p>
        </w:tc>
      </w:tr>
      <w:tr>
        <w:trPr>
          <w:cantSplit/>
        </w:trPr>
        <w:tc>
          <w:tcPr>
            <w:tcW w:type="dxa" w:w="2197"/>
          </w:tcPr>
          <w:p>
            <w:pPr>
              <w:keepNext/>
              <w:spacing w:after="0"/>
            </w:pPr>
            <w:r>
              <w:rPr>
                <w:rFonts w:ascii="Arial" w:hAnsi="Arial" w:cs="Arial"/>
                <w:b w:val="0"/>
                <w:i w:val="0"/>
                <w:sz w:val="19"/>
              </w:rPr>
              <w:t>4. Train</w:t>
            </w:r>
          </w:p>
        </w:tc>
        <w:tc>
          <w:tcPr>
            <w:tcW w:type="dxa" w:w="2197"/>
          </w:tcPr>
          <w:p>
            <w:pPr>
              <w:keepNext/>
              <w:spacing w:after="0"/>
            </w:pPr>
            <w:r>
              <w:rPr>
                <w:rFonts w:ascii="Arial" w:hAnsi="Arial" w:cs="Arial"/>
                <w:b w:val="0"/>
                <w:i w:val="0"/>
                <w:sz w:val="19"/>
              </w:rPr>
              <w:t>Fit model di train</w:t>
            </w:r>
          </w:p>
        </w:tc>
        <w:tc>
          <w:tcPr>
            <w:tcW w:type="dxa" w:w="2197"/>
          </w:tcPr>
          <w:p>
            <w:pPr>
              <w:keepNext/>
              <w:spacing w:after="0"/>
            </w:pPr>
            <w:r>
              <w:rPr>
                <w:rFonts w:ascii="Arial" w:hAnsi="Arial" w:cs="Arial"/>
                <w:b w:val="0"/>
                <w:i w:val="0"/>
                <w:sz w:val="19"/>
              </w:rPr>
              <w:t>model.fit(X_train, y_train)</w:t>
            </w:r>
          </w:p>
        </w:tc>
        <w:tc>
          <w:tcPr>
            <w:tcW w:type="dxa" w:w="2197"/>
          </w:tcPr>
          <w:p>
            <w:pPr>
              <w:keepNext/>
              <w:spacing w:after="0"/>
            </w:pPr>
            <w:r>
              <w:rPr>
                <w:rFonts w:ascii="Arial" w:hAnsi="Arial" w:cs="Arial"/>
                <w:b w:val="0"/>
                <w:i w:val="0"/>
                <w:sz w:val="19"/>
              </w:rPr>
              <w:t>Trained model object</w:t>
            </w:r>
          </w:p>
        </w:tc>
      </w:tr>
      <w:tr>
        <w:trPr>
          <w:cantSplit/>
        </w:trPr>
        <w:tc>
          <w:tcPr>
            <w:tcW w:type="dxa" w:w="2197"/>
          </w:tcPr>
          <w:p>
            <w:pPr>
              <w:keepNext/>
              <w:spacing w:after="0"/>
            </w:pPr>
            <w:r>
              <w:rPr>
                <w:rFonts w:ascii="Arial" w:hAnsi="Arial" w:cs="Arial"/>
                <w:b w:val="0"/>
                <w:i w:val="0"/>
                <w:sz w:val="19"/>
              </w:rPr>
              <w:t>5. Evaluate</w:t>
            </w:r>
          </w:p>
        </w:tc>
        <w:tc>
          <w:tcPr>
            <w:tcW w:type="dxa" w:w="2197"/>
          </w:tcPr>
          <w:p>
            <w:pPr>
              <w:keepNext/>
              <w:spacing w:after="0"/>
            </w:pPr>
            <w:r>
              <w:rPr>
                <w:rFonts w:ascii="Arial" w:hAnsi="Arial" w:cs="Arial"/>
                <w:b w:val="0"/>
                <w:i w:val="0"/>
                <w:sz w:val="19"/>
              </w:rPr>
              <w:t>Predict + metrics di test</w:t>
            </w:r>
          </w:p>
        </w:tc>
        <w:tc>
          <w:tcPr>
            <w:tcW w:type="dxa" w:w="2197"/>
          </w:tcPr>
          <w:p>
            <w:pPr>
              <w:keepNext/>
              <w:spacing w:after="0"/>
            </w:pPr>
            <w:r>
              <w:rPr>
                <w:rFonts w:ascii="Arial" w:hAnsi="Arial" w:cs="Arial"/>
                <w:b w:val="0"/>
                <w:i w:val="0"/>
                <w:sz w:val="19"/>
              </w:rPr>
              <w:t>classification_report</w:t>
            </w:r>
          </w:p>
        </w:tc>
        <w:tc>
          <w:tcPr>
            <w:tcW w:type="dxa" w:w="2197"/>
          </w:tcPr>
          <w:p>
            <w:pPr>
              <w:keepNext/>
              <w:spacing w:after="0"/>
            </w:pPr>
            <w:r>
              <w:rPr>
                <w:rFonts w:ascii="Arial" w:hAnsi="Arial" w:cs="Arial"/>
                <w:b w:val="0"/>
                <w:i w:val="0"/>
                <w:sz w:val="19"/>
              </w:rPr>
              <w:t>Accuracy, F1, confusion matrix</w:t>
            </w:r>
          </w:p>
        </w:tc>
      </w:tr>
      <w:tr>
        <w:trPr>
          <w:cantSplit/>
        </w:trPr>
        <w:tc>
          <w:tcPr>
            <w:tcW w:type="dxa" w:w="2197"/>
          </w:tcPr>
          <w:p>
            <w:pPr>
              <w:keepNext/>
              <w:spacing w:after="0"/>
            </w:pPr>
            <w:r>
              <w:rPr>
                <w:rFonts w:ascii="Arial" w:hAnsi="Arial" w:cs="Arial"/>
                <w:b w:val="0"/>
                <w:i w:val="0"/>
                <w:sz w:val="19"/>
              </w:rPr>
              <w:t>6. Tune</w:t>
            </w:r>
          </w:p>
        </w:tc>
        <w:tc>
          <w:tcPr>
            <w:tcW w:type="dxa" w:w="2197"/>
          </w:tcPr>
          <w:p>
            <w:pPr>
              <w:keepNext/>
              <w:spacing w:after="0"/>
            </w:pPr>
            <w:r>
              <w:rPr>
                <w:rFonts w:ascii="Arial" w:hAnsi="Arial" w:cs="Arial"/>
                <w:b w:val="0"/>
                <w:i w:val="0"/>
                <w:sz w:val="19"/>
              </w:rPr>
              <w:t>Grid search hyperparams</w:t>
            </w:r>
          </w:p>
        </w:tc>
        <w:tc>
          <w:tcPr>
            <w:tcW w:type="dxa" w:w="2197"/>
          </w:tcPr>
          <w:p>
            <w:pPr>
              <w:keepNext/>
              <w:spacing w:after="0"/>
            </w:pPr>
            <w:r>
              <w:rPr>
                <w:rFonts w:ascii="Arial" w:hAnsi="Arial" w:cs="Arial"/>
                <w:b w:val="0"/>
                <w:i w:val="0"/>
                <w:sz w:val="19"/>
              </w:rPr>
              <w:t>GridSearchCV(cv=5)</w:t>
            </w:r>
          </w:p>
        </w:tc>
        <w:tc>
          <w:tcPr>
            <w:tcW w:type="dxa" w:w="2197"/>
          </w:tcPr>
          <w:p>
            <w:pPr>
              <w:keepNext/>
              <w:spacing w:after="0"/>
            </w:pPr>
            <w:r>
              <w:rPr>
                <w:rFonts w:ascii="Arial" w:hAnsi="Arial" w:cs="Arial"/>
                <w:b w:val="0"/>
                <w:i w:val="0"/>
                <w:sz w:val="19"/>
              </w:rPr>
              <w:t>Best model + params</w:t>
            </w:r>
          </w:p>
        </w:tc>
      </w:tr>
      <w:tr>
        <w:trPr>
          <w:cantSplit/>
        </w:trPr>
        <w:tc>
          <w:tcPr>
            <w:tcW w:type="dxa" w:w="2197"/>
          </w:tcPr>
          <w:p>
            <w:pPr>
              <w:spacing w:after="0"/>
            </w:pPr>
            <w:r>
              <w:rPr>
                <w:rFonts w:ascii="Arial" w:hAnsi="Arial" w:cs="Arial"/>
                <w:b w:val="0"/>
                <w:i w:val="0"/>
                <w:sz w:val="19"/>
              </w:rPr>
              <w:t>7. Deploy</w:t>
            </w:r>
          </w:p>
        </w:tc>
        <w:tc>
          <w:tcPr>
            <w:tcW w:type="dxa" w:w="2197"/>
          </w:tcPr>
          <w:p>
            <w:pPr>
              <w:spacing w:after="0"/>
            </w:pPr>
            <w:r>
              <w:rPr>
                <w:rFonts w:ascii="Arial" w:hAnsi="Arial" w:cs="Arial"/>
                <w:b w:val="0"/>
                <w:i w:val="0"/>
                <w:sz w:val="19"/>
              </w:rPr>
              <w:t>Save model, integrasi API</w:t>
            </w:r>
          </w:p>
        </w:tc>
        <w:tc>
          <w:tcPr>
            <w:tcW w:type="dxa" w:w="2197"/>
          </w:tcPr>
          <w:p>
            <w:pPr>
              <w:spacing w:after="0"/>
            </w:pPr>
            <w:r>
              <w:rPr>
                <w:rFonts w:ascii="Arial" w:hAnsi="Arial" w:cs="Arial"/>
                <w:b w:val="0"/>
                <w:i w:val="0"/>
                <w:sz w:val="19"/>
              </w:rPr>
              <w:t>joblib.dump(model)</w:t>
            </w:r>
          </w:p>
        </w:tc>
        <w:tc>
          <w:tcPr>
            <w:tcW w:type="dxa" w:w="2197"/>
          </w:tcPr>
          <w:p>
            <w:pPr>
              <w:spacing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Pada benchmark CWRU bearing dataset (4 kondisi, ~10.000 sampel/kondisi, 21 fitur), Random Forest 100 tree mencapai accuracy 98,5% dan F1=0,97 (macro-average), jauh mengungguli pendekatan rule-based murni (sekitar 75%).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Margin maximization      Kernel trick: K(x,y)=exp(-gamma||x-y||²) (RBF)      Hyperparameter C &amp; gamma      StandardScaler wajib      Pipeline anti-leakage</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5472000" cy="2014015"/>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5472000" cy="2014015"/>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Algoritma</w:t>
            </w:r>
          </w:p>
        </w:tc>
        <w:tc>
          <w:tcPr>
            <w:tcW w:type="dxa" w:w="1757"/>
            <w:shd w:val="clear" w:fill="DCE4F1"/>
          </w:tcPr>
          <w:p>
            <w:pPr>
              <w:keepNext/>
              <w:spacing w:after="0"/>
            </w:pPr>
            <w:r>
              <w:rPr>
                <w:rFonts w:ascii="Arial" w:hAnsi="Arial" w:cs="Arial"/>
                <w:b/>
                <w:i w:val="0"/>
                <w:sz w:val="19"/>
              </w:rPr>
              <w:t>Train Speed</w:t>
            </w:r>
          </w:p>
        </w:tc>
        <w:tc>
          <w:tcPr>
            <w:tcW w:type="dxa" w:w="1757"/>
            <w:shd w:val="clear" w:fill="DCE4F1"/>
          </w:tcPr>
          <w:p>
            <w:pPr>
              <w:keepNext/>
              <w:spacing w:after="0"/>
            </w:pPr>
            <w:r>
              <w:rPr>
                <w:rFonts w:ascii="Arial" w:hAnsi="Arial" w:cs="Arial"/>
                <w:b/>
                <w:i w:val="0"/>
                <w:sz w:val="19"/>
              </w:rPr>
              <w:t>Predict Speed</w:t>
            </w:r>
          </w:p>
        </w:tc>
        <w:tc>
          <w:tcPr>
            <w:tcW w:type="dxa" w:w="1757"/>
            <w:shd w:val="clear" w:fill="DCE4F1"/>
          </w:tcPr>
          <w:p>
            <w:pPr>
              <w:keepNext/>
              <w:spacing w:after="0"/>
            </w:pPr>
            <w:r>
              <w:rPr>
                <w:rFonts w:ascii="Arial" w:hAnsi="Arial" w:cs="Arial"/>
                <w:b/>
                <w:i w:val="0"/>
                <w:sz w:val="19"/>
              </w:rPr>
              <w:t>Interpretability</w:t>
            </w:r>
          </w:p>
        </w:tc>
        <w:tc>
          <w:tcPr>
            <w:tcW w:type="dxa" w:w="1757"/>
            <w:shd w:val="clear" w:fill="DCE4F1"/>
          </w:tcPr>
          <w:p>
            <w:pPr>
              <w:keepNext/>
              <w:spacing w:after="0"/>
            </w:pPr>
            <w:r>
              <w:rPr>
                <w:rFonts w:ascii="Arial" w:hAnsi="Arial" w:cs="Arial"/>
                <w:b/>
                <w:i w:val="0"/>
                <w:sz w:val="19"/>
              </w:rPr>
              <w:t>Cocok Data</w:t>
            </w:r>
          </w:p>
        </w:tc>
      </w:tr>
      <w:tr>
        <w:trPr>
          <w:cantSplit/>
        </w:trPr>
        <w:tc>
          <w:tcPr>
            <w:tcW w:type="dxa" w:w="1757"/>
          </w:tcPr>
          <w:p>
            <w:pPr>
              <w:keepNext/>
              <w:spacing w:after="0"/>
            </w:pPr>
            <w:r>
              <w:rPr>
                <w:rFonts w:ascii="Arial" w:hAnsi="Arial" w:cs="Arial"/>
                <w:b w:val="0"/>
                <w:i w:val="0"/>
                <w:sz w:val="19"/>
              </w:rPr>
              <w:t>Logistic Regression</w:t>
            </w:r>
          </w:p>
        </w:tc>
        <w:tc>
          <w:tcPr>
            <w:tcW w:type="dxa" w:w="1757"/>
          </w:tcPr>
          <w:p>
            <w:pPr>
              <w:keepNext/>
              <w:spacing w:after="0"/>
            </w:pPr>
            <w:r>
              <w:rPr>
                <w:rFonts w:ascii="Arial" w:hAnsi="Arial" w:cs="Arial"/>
                <w:b w:val="0"/>
                <w:i w:val="0"/>
                <w:sz w:val="19"/>
              </w:rPr>
              <w:t>Sangat cepat</w:t>
            </w:r>
          </w:p>
        </w:tc>
        <w:tc>
          <w:tcPr>
            <w:tcW w:type="dxa" w:w="1757"/>
          </w:tcPr>
          <w:p>
            <w:pPr>
              <w:keepNext/>
              <w:spacing w:after="0"/>
            </w:pPr>
            <w:r>
              <w:rPr>
                <w:rFonts w:ascii="Arial" w:hAnsi="Arial" w:cs="Arial"/>
                <w:b w:val="0"/>
                <w:i w:val="0"/>
                <w:sz w:val="19"/>
              </w:rPr>
              <w:t>Sangat cepat</w:t>
            </w:r>
          </w:p>
        </w:tc>
        <w:tc>
          <w:tcPr>
            <w:tcW w:type="dxa" w:w="1757"/>
          </w:tcPr>
          <w:p>
            <w:pPr>
              <w:keepNext/>
              <w:spacing w:after="0"/>
            </w:pPr>
            <w:r>
              <w:rPr>
                <w:rFonts w:ascii="Arial" w:hAnsi="Arial" w:cs="Arial"/>
                <w:b w:val="0"/>
                <w:i w:val="0"/>
                <w:sz w:val="19"/>
              </w:rPr>
              <w:t>Tinggi (koefisien w)</w:t>
            </w:r>
          </w:p>
        </w:tc>
        <w:tc>
          <w:tcPr>
            <w:tcW w:type="dxa" w:w="1757"/>
          </w:tcPr>
          <w:p>
            <w:pPr>
              <w:keepNext/>
              <w:spacing w:after="0"/>
            </w:pPr>
            <w:r>
              <w:rPr>
                <w:rFonts w:ascii="Arial" w:hAnsi="Arial" w:cs="Arial"/>
                <w:b w:val="0"/>
                <w:i w:val="0"/>
                <w:sz w:val="19"/>
              </w:rPr>
              <w:t>Linear separable, &lt;100K</w:t>
            </w:r>
          </w:p>
        </w:tc>
      </w:tr>
      <w:tr>
        <w:trPr>
          <w:cantSplit/>
        </w:trPr>
        <w:tc>
          <w:tcPr>
            <w:tcW w:type="dxa" w:w="1757"/>
          </w:tcPr>
          <w:p>
            <w:pPr>
              <w:keepNext/>
              <w:spacing w:after="0"/>
            </w:pPr>
            <w:r>
              <w:rPr>
                <w:rFonts w:ascii="Arial" w:hAnsi="Arial" w:cs="Arial"/>
                <w:b w:val="0"/>
                <w:i w:val="0"/>
                <w:sz w:val="19"/>
              </w:rPr>
              <w:t>Random Forest</w:t>
            </w:r>
          </w:p>
        </w:tc>
        <w:tc>
          <w:tcPr>
            <w:tcW w:type="dxa" w:w="1757"/>
          </w:tcPr>
          <w:p>
            <w:pPr>
              <w:keepNext/>
              <w:spacing w:after="0"/>
            </w:pPr>
            <w:r>
              <w:rPr>
                <w:rFonts w:ascii="Arial" w:hAnsi="Arial" w:cs="Arial"/>
                <w:b w:val="0"/>
                <w:i w:val="0"/>
                <w:sz w:val="19"/>
              </w:rPr>
              <w:t>Sedang</w:t>
            </w:r>
          </w:p>
        </w:tc>
        <w:tc>
          <w:tcPr>
            <w:tcW w:type="dxa" w:w="1757"/>
          </w:tcPr>
          <w:p>
            <w:pPr>
              <w:keepNext/>
              <w:spacing w:after="0"/>
            </w:pPr>
            <w:r>
              <w:rPr>
                <w:rFonts w:ascii="Arial" w:hAnsi="Arial" w:cs="Arial"/>
                <w:b w:val="0"/>
                <w:i w:val="0"/>
                <w:sz w:val="19"/>
              </w:rPr>
              <w:t>Cepat</w:t>
            </w:r>
          </w:p>
        </w:tc>
        <w:tc>
          <w:tcPr>
            <w:tcW w:type="dxa" w:w="1757"/>
          </w:tcPr>
          <w:p>
            <w:pPr>
              <w:keepNext/>
              <w:spacing w:after="0"/>
            </w:pPr>
            <w:r>
              <w:rPr>
                <w:rFonts w:ascii="Arial" w:hAnsi="Arial" w:cs="Arial"/>
                <w:b w:val="0"/>
                <w:i w:val="0"/>
                <w:sz w:val="19"/>
              </w:rPr>
              <w:t>Sedang (feature_imp)</w:t>
            </w:r>
          </w:p>
        </w:tc>
        <w:tc>
          <w:tcPr>
            <w:tcW w:type="dxa" w:w="1757"/>
          </w:tcPr>
          <w:p>
            <w:pPr>
              <w:keepNext/>
              <w:spacing w:after="0"/>
            </w:pPr>
            <w:r>
              <w:rPr>
                <w:rFonts w:ascii="Arial" w:hAnsi="Arial" w:cs="Arial"/>
                <w:b w:val="0"/>
                <w:i w:val="0"/>
                <w:sz w:val="19"/>
              </w:rPr>
              <w:t>Mixed, &lt;1M, baseline terbaik</w:t>
            </w:r>
          </w:p>
        </w:tc>
      </w:tr>
      <w:tr>
        <w:trPr>
          <w:cantSplit/>
        </w:trPr>
        <w:tc>
          <w:tcPr>
            <w:tcW w:type="dxa" w:w="1757"/>
          </w:tcPr>
          <w:p>
            <w:pPr>
              <w:keepNext/>
              <w:spacing w:after="0"/>
            </w:pPr>
            <w:r>
              <w:rPr>
                <w:rFonts w:ascii="Arial" w:hAnsi="Arial" w:cs="Arial"/>
                <w:b w:val="0"/>
                <w:i w:val="0"/>
                <w:sz w:val="19"/>
              </w:rPr>
              <w:t>SVM (RBF)</w:t>
            </w:r>
          </w:p>
        </w:tc>
        <w:tc>
          <w:tcPr>
            <w:tcW w:type="dxa" w:w="1757"/>
          </w:tcPr>
          <w:p>
            <w:pPr>
              <w:keepNext/>
              <w:spacing w:after="0"/>
            </w:pPr>
            <w:r>
              <w:rPr>
                <w:rFonts w:ascii="Arial" w:hAnsi="Arial" w:cs="Arial"/>
                <w:b w:val="0"/>
                <w:i w:val="0"/>
                <w:sz w:val="19"/>
              </w:rPr>
              <w:t>Lambat O(n²)</w:t>
            </w:r>
          </w:p>
        </w:tc>
        <w:tc>
          <w:tcPr>
            <w:tcW w:type="dxa" w:w="1757"/>
          </w:tcPr>
          <w:p>
            <w:pPr>
              <w:keepNext/>
              <w:spacing w:after="0"/>
            </w:pPr>
            <w:r>
              <w:rPr>
                <w:rFonts w:ascii="Arial" w:hAnsi="Arial" w:cs="Arial"/>
                <w:b w:val="0"/>
                <w:i w:val="0"/>
                <w:sz w:val="19"/>
              </w:rPr>
              <w:t>Sedang</w:t>
            </w:r>
          </w:p>
        </w:tc>
        <w:tc>
          <w:tcPr>
            <w:tcW w:type="dxa" w:w="1757"/>
          </w:tcPr>
          <w:p>
            <w:pPr>
              <w:keepNext/>
              <w:spacing w:after="0"/>
            </w:pPr>
            <w:r>
              <w:rPr>
                <w:rFonts w:ascii="Arial" w:hAnsi="Arial" w:cs="Arial"/>
                <w:b w:val="0"/>
                <w:i w:val="0"/>
                <w:sz w:val="19"/>
              </w:rPr>
              <w:t>Rendah</w:t>
            </w:r>
          </w:p>
        </w:tc>
        <w:tc>
          <w:tcPr>
            <w:tcW w:type="dxa" w:w="1757"/>
          </w:tcPr>
          <w:p>
            <w:pPr>
              <w:keepNext/>
              <w:spacing w:after="0"/>
            </w:pPr>
            <w:r>
              <w:rPr>
                <w:rFonts w:ascii="Arial" w:hAnsi="Arial" w:cs="Arial"/>
                <w:b w:val="0"/>
                <w:i w:val="0"/>
                <w:sz w:val="19"/>
              </w:rPr>
              <w:t>Small-medium, high-dim</w:t>
            </w:r>
          </w:p>
        </w:tc>
      </w:tr>
      <w:tr>
        <w:trPr>
          <w:cantSplit/>
        </w:trPr>
        <w:tc>
          <w:tcPr>
            <w:tcW w:type="dxa" w:w="1757"/>
          </w:tcPr>
          <w:p>
            <w:pPr>
              <w:spacing w:after="0"/>
            </w:pPr>
            <w:r>
              <w:rPr>
                <w:rFonts w:ascii="Arial" w:hAnsi="Arial" w:cs="Arial"/>
                <w:b w:val="0"/>
                <w:i w:val="0"/>
                <w:sz w:val="19"/>
              </w:rPr>
              <w:t>XGBoost / LightGBM</w:t>
            </w:r>
          </w:p>
        </w:tc>
        <w:tc>
          <w:tcPr>
            <w:tcW w:type="dxa" w:w="1757"/>
          </w:tcPr>
          <w:p>
            <w:pPr>
              <w:spacing w:after="0"/>
            </w:pPr>
            <w:r>
              <w:rPr>
                <w:rFonts w:ascii="Arial" w:hAnsi="Arial" w:cs="Arial"/>
                <w:b w:val="0"/>
                <w:i w:val="0"/>
                <w:sz w:val="19"/>
              </w:rPr>
              <w:t>Sedang</w:t>
            </w:r>
          </w:p>
        </w:tc>
        <w:tc>
          <w:tcPr>
            <w:tcW w:type="dxa" w:w="1757"/>
          </w:tcPr>
          <w:p>
            <w:pPr>
              <w:spacing w:after="0"/>
            </w:pPr>
            <w:r>
              <w:rPr>
                <w:rFonts w:ascii="Arial" w:hAnsi="Arial" w:cs="Arial"/>
                <w:b w:val="0"/>
                <w:i w:val="0"/>
                <w:sz w:val="19"/>
              </w:rPr>
              <w:t>Cepat</w:t>
            </w:r>
          </w:p>
        </w:tc>
        <w:tc>
          <w:tcPr>
            <w:tcW w:type="dxa" w:w="1757"/>
          </w:tcPr>
          <w:p>
            <w:pPr>
              <w:spacing w:after="0"/>
            </w:pPr>
            <w:r>
              <w:rPr>
                <w:rFonts w:ascii="Arial" w:hAnsi="Arial" w:cs="Arial"/>
                <w:b w:val="0"/>
                <w:i w:val="0"/>
                <w:sz w:val="19"/>
              </w:rPr>
              <w:t>Sedang (SHAP)</w:t>
            </w:r>
          </w:p>
        </w:tc>
        <w:tc>
          <w:tcPr>
            <w:tcW w:type="dxa" w:w="1757"/>
          </w:tcPr>
          <w:p>
            <w:pPr>
              <w:spacing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Benchmark CWRU 4-kelas: SVM RBF (C=10, gamma=scale) mencapai accuracy 97,2% dan F1=0,96, XGBoost (default) mencapai accuracy 98,8% dan F1=0,98, sedikit di atas Random Forest.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p>
    <w:p>
      <w:pPr>
        <w:keepNext/>
        <w:spacing w:before="120" w:after="40"/>
        <w:jc w:val="center"/>
      </w:pPr>
      <w:r>
        <w:drawing>
          <wp:inline xmlns:a="http://schemas.openxmlformats.org/drawingml/2006/main" xmlns:pic="http://schemas.openxmlformats.org/drawingml/2006/picture">
            <wp:extent cx="5082236" cy="4499999"/>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5082236" cy="4499999"/>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keepNext/>
        <w:spacing w:before="120" w:after="40"/>
        <w:jc w:val="center"/>
      </w:pPr>
      <w:r>
        <w:drawing>
          <wp:inline xmlns:a="http://schemas.openxmlformats.org/drawingml/2006/main" xmlns:pic="http://schemas.openxmlformats.org/drawingml/2006/picture">
            <wp:extent cx="5472000" cy="2508946"/>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5472000" cy="2508946"/>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keepNext/>
        <w:spacing w:before="120" w:after="40"/>
        <w:jc w:val="center"/>
      </w:pPr>
      <w:r>
        <w:drawing>
          <wp:inline xmlns:a="http://schemas.openxmlformats.org/drawingml/2006/main" xmlns:pic="http://schemas.openxmlformats.org/drawingml/2006/picture">
            <wp:extent cx="5472000" cy="4489073"/>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5472000" cy="4489073"/>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Gambar 7. Cuplikan kode GridSearchCV untuk tuning hyperparameter Random Forest dengan 5-fold cross-validation.</w:t>
      </w:r>
    </w:p>
    <w:p>
      <w:pPr>
        <w:spacing w:line="360" w:lineRule="auto" w:after="120"/>
        <w:jc w:val="both"/>
      </w:pPr>
      <w:r>
        <w:rPr>
          <w:rFonts w:ascii="Arial" w:hAnsi="Arial" w:cs="Arial"/>
          <w:b w:val="0"/>
          <w:i w:val="0"/>
          <w:sz w:val="22"/>
        </w:rPr>
        <w:t>Gambar 7 menunjukkan cuplikan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`Pipeline([StandardScaler, SVC(C=1.0, kernel='rbf', gamma='scale',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3340805" cy="4499999"/>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3340805" cy="4499999"/>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Model yang selalu memprediksi "healthy" sudah memberi accuracy 99% padahal gagal total mendeteksi fault; pakai recall/F1/AUC/balanced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recall (sensitivity)=TP/(TP+FN); specificity=TN/(TN+FP); balanced_acc=(recall+specificity)/2; Youden J=sensitivity+specificity-1; G-mean=akar(sensitivity x specificity); F-beta=(1+b^2).P.R/(b^2.P+R); class_weight balanced: w_kelas=n_samples/(n_classes x n_kelas).</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Hitung F2-score (menekankan recall) untuk precision=0,75, recall=0,60. Formula: F2=5.P.R/(4.P+R).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P dan R ke formula F-beta dengan beta=2.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Untuk 1000 sampel, 2 kelas, minoritas 50 sampel, hitung bobot kelas minoritas ala class_weight='balanced'=n_samples/(n_classes x n_minority).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Hitung G-mean=akar(sensitivity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t, prediksi positif bila skor&gt;=t;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Precision pada recall tinggi: dengan skor dan label dari soal ROC-AUC (positif=label 1, negatif=label 0, seed 42), urutkan skor menurun, lalu hitung precision pada titik pertama dimana recall&gt;=0,9.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 skor menurun, akumulasi TP/FP, cari recall pertama &gt;=0,9,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hitung precision, recall, lalu F1;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