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transformasi Laplace, fungsi transfer, perancangan PID, sampai kendali fuzzy dan jaringan saraf, adalah pengembangan dari kerangka yang dibangun di pertemuan ini.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e(t) = r(t) − y(t)</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Σ → e → C(s) → u → G(s) → y → H(s) → Σ</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w:t>
            </w:r>
            <w:r>
              <w:rPr>
                <w:rFonts w:ascii="Arial" w:hAnsi="Arial" w:cs="Arial"/>
                <w:b/>
                <w:i w:val="0"/>
                <w:sz w:val="19"/>
              </w:rPr>
              <w:t xml:space="preserve">e</w:t>
            </w:r>
            <w:r>
              <w:rPr>
                <w:rFonts w:ascii="Arial" w:hAnsi="Arial" w:cs="Arial"/>
                <w:b/>
                <w:i w:val="0"/>
                <w:sz w:val="19"/>
                <w:vertAlign w:val="subscript"/>
              </w:rPr>
              <w:t xml:space="preserve">ss</w:t>
            </w:r>
            <w:r>
              <w:rPr>
                <w:rFonts w:ascii="Arial" w:hAnsi="Arial" w:cs="Arial"/>
                <w:b/>
                <w:i w:val="0"/>
                <w:sz w:val="19"/>
              </w:rPr>
              <w:t xml:space="preserve">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 = Kp · K,   T = L/(1 + L),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L),   </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τ/(1 + L)</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1/9 ≈ 0,1111. Konstanta waktu loop tertutup menjadi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[L/(1 + L)] · (1 − e</w:t>
      </w:r>
      <w:r>
        <w:rPr>
          <w:rFonts w:ascii="Arial" w:hAnsi="Arial" w:cs="Arial"/>
          <w:b/>
          <w:i/>
          <w:color w:val="305496"/>
          <w:sz w:val="22"/>
          <w:vertAlign w:val="superscript"/>
        </w:rPr>
        <w:t xml:space="preserve">−t/τ_cl</w:t>
      </w:r>
      <w:r>
        <w:rPr>
          <w:rFonts w:ascii="Arial" w:hAnsi="Arial" w:cs="Arial"/>
          <w:b/>
          <w:i/>
          <w:color w:val="305496"/>
          <w:sz w:val="22"/>
        </w:rPr>
        <w:t xml:space="preserve">)</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adalah perkiraan kapan respons dianggap selesai memakai kriteria dua persen, kira-kira empat kali konstanta waktu.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adalah waktu dari sepuluh persen ke sembilan puluh persen nilai akhir, kira-kira 2,2 kali konstanta waktu untuk sistem orde satu.</w:t>
      </w:r>
      <w:r>
        <w:rPr>
          <w:rFonts w:ascii="Arial" w:hAnsi="Arial" w:cs="Arial"/>
          <w:b w:val="0"/>
          <w:i w:val="0"/>
          <w:sz w:val="22"/>
        </w:rPr>
        <w:t xml:space="preserve"/>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1,3333 s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2,2·</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0,7333 s</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5394960" cy="230881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308811"/>
                    </a:xfrm>
                    <a:prstGeom prst="rect"/>
                  </pic:spPr>
                </pic:pic>
              </a:graphicData>
            </a:graphic>
          </wp:inline>
        </w:drawing>
      </w:r>
    </w:p>
    <w:p>
      <w:pPr>
        <w:spacing w:after="200"/>
        <w:jc w:val="center"/>
      </w:pPr>
      <w:r>
        <w:rPr>
          <w:rFonts w:ascii="Arial" w:hAnsi="Arial" w:cs="Arial"/>
          <w:b w:val="0"/>
          <w:i/>
          <w:color w:val="444444"/>
          <w:sz w:val="20"/>
        </w:rPr>
        <w:t xml:space="preserve">Gambar 8. Potongan Cell 1: sistem referensi dan perhitungan L, T, S, </w:t>
      </w:r>
      <w:r>
        <w:rPr>
          <w:rFonts w:ascii="Arial" w:hAnsi="Arial" w:cs="Arial"/>
          <w:b w:val="0"/>
          <w:i/>
          <w:color w:val="444444"/>
          <w:sz w:val="20"/>
        </w:rPr>
        <w:t xml:space="preserve">τ</w:t>
      </w:r>
      <w:r>
        <w:rPr>
          <w:rFonts w:ascii="Arial" w:hAnsi="Arial" w:cs="Arial"/>
          <w:b w:val="0"/>
          <w:i/>
          <w:color w:val="444444"/>
          <w:sz w:val="20"/>
          <w:vertAlign w:val="subscript"/>
        </w:rPr>
        <w:t xml:space="preserve">cl</w:t>
      </w:r>
      <w:r>
        <w:rPr>
          <w:rFonts w:ascii="Arial" w:hAnsi="Arial" w:cs="Arial"/>
          <w:b w:val="0"/>
          <w:i/>
          <w:color w:val="444444"/>
          <w:sz w:val="20"/>
        </w:rPr>
        <w:t xml:space="preserve">, dan </w:t>
      </w:r>
      <w:r>
        <w:rPr>
          <w:rFonts w:ascii="Arial" w:hAnsi="Arial" w:cs="Arial"/>
          <w:b w:val="0"/>
          <w:i/>
          <w:color w:val="444444"/>
          <w:sz w:val="20"/>
        </w:rPr>
        <w:t xml:space="preserve">t</w:t>
      </w:r>
      <w:r>
        <w:rPr>
          <w:rFonts w:ascii="Arial" w:hAnsi="Arial" w:cs="Arial"/>
          <w:b w:val="0"/>
          <w:i/>
          <w:color w:val="444444"/>
          <w:sz w:val="20"/>
          <w:vertAlign w:val="subscript"/>
        </w:rPr>
        <w:t xml:space="preserve">s</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r>
        <w:rPr>
          <w:rFonts w:ascii="Arial" w:hAnsi="Arial" w:cs="Arial"/>
          <w:b w:val="0"/>
          <w:i w:val="0"/>
          <w:sz w:val="22"/>
        </w:rPr>
        <w:t xml:space="preserve"> Gambar 9 mengilustrasikan gagasan ini.</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τ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K/(τ·s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w:t>
      </w:r>
      <w:r>
        <w:rPr>
          <w:rFonts w:ascii="Arial" w:hAnsi="Arial" w:cs="Arial"/>
          <w:b w:val="0"/>
          <w:i w:val="0"/>
          <w:color w:val="555555"/>
          <w:sz w:val="21"/>
        </w:rPr>
        <w:t xml:space="preserve">C</w:t>
      </w:r>
      <w:r>
        <w:rPr>
          <w:rFonts w:ascii="Arial" w:hAnsi="Arial" w:cs="Arial"/>
          <w:b w:val="0"/>
          <w:i w:val="0"/>
          <w:color w:val="555555"/>
          <w:sz w:val="21"/>
          <w:vertAlign w:val="subscript"/>
        </w:rPr>
        <w:t xml:space="preserve">1</w:t>
      </w:r>
      <w:r>
        <w:rPr>
          <w:rFonts w:ascii="Arial" w:hAnsi="Arial" w:cs="Arial"/>
          <w:b w:val="0"/>
          <w:i w:val="0"/>
          <w:color w:val="555555"/>
          <w:sz w:val="21"/>
        </w:rPr>
        <w:t xml:space="preserve">,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 4·</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 2,2·</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w:t>
      </w:r>
      <w:r>
        <w:rPr>
          <w:rFonts w:ascii="Arial" w:hAnsi="Arial" w:cs="Arial"/>
          <w:b/>
          <w:i w:val="0"/>
          <w:sz w:val="22"/>
          <w:vertAlign w:val="superscript"/>
        </w:rPr>
        <w:t xml:space="preserve">−t/τ_cl</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w:t>
      </w:r>
      <w:r>
        <w:rPr>
          <w:rFonts w:ascii="Arial" w:hAnsi="Arial" w:cs="Arial"/>
          <w:b w:val="0"/>
          <w:i w:val="0"/>
          <w:color w:val="555555"/>
          <w:sz w:val="21"/>
        </w:rPr>
        <w:t xml:space="preserve">τ</w:t>
      </w:r>
      <w:r>
        <w:rPr>
          <w:rFonts w:ascii="Arial" w:hAnsi="Arial" w:cs="Arial"/>
          <w:b w:val="0"/>
          <w:i w:val="0"/>
          <w:color w:val="555555"/>
          <w:sz w:val="21"/>
          <w:vertAlign w:val="subscript"/>
        </w:rPr>
        <w:t xml:space="preserve">cl</w:t>
      </w:r>
      <w:r>
        <w:rPr>
          <w:rFonts w:ascii="Arial" w:hAnsi="Arial" w:cs="Arial"/>
          <w:b w:val="0"/>
          <w:i w:val="0"/>
          <w:color w:val="555555"/>
          <w:sz w:val="21"/>
        </w:rPr>
        <w:t xml:space="preserve">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w:t>
      </w:r>
      <w:r>
        <w:rPr>
          <w:rFonts w:ascii="Arial" w:hAnsi="Arial" w:cs="Arial"/>
          <w:b/>
          <w:i w:val="0"/>
          <w:sz w:val="22"/>
          <w:vertAlign w:val="superscript"/>
        </w:rPr>
        <w:t xml:space="preserve">−t/τ</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