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p>
    <w:p>
      <w:pPr>
        <w:spacing w:before="40" w:after="120"/>
        <w:jc w:val="center"/>
      </w:pPr>
      <w:r>
        <w:rPr>
          <w:rFonts w:ascii="Arial" w:hAnsi="Arial" w:cs="Arial"/>
          <w:b/>
          <w:i/>
          <w:color w:val="305496"/>
          <w:sz w:val="22"/>
        </w:rPr>
        <w:t>LSB = Vrange / 2^N          SNRkuantisasi = 6,02·N + 1,76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12-bit menghasilkan 4096 level (SNR sekitar 74 dB) untuk monitoring umum; 16-bit menghasilkan 65536 level (SNR sekitar 98 dB) sebagai standar vibration; 24-bit Sigma-Delta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Khas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ADC bit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Storage/jam (1 ch)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Temperatur Proses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RTD/TC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 KB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Bearing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High-Speed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~520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Power Quality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Current/Voltage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~140 MB</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Acoustic Emission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Piezo wide-band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 MHz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14-bit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p>
    <w:p>
      <w:pPr>
        <w:spacing w:before="40" w:after="120"/>
        <w:jc w:val="center"/>
      </w:pPr>
      <w:r>
        <w:rPr>
          <w:rFonts w:ascii="Arial" w:hAnsi="Arial" w:cs="Arial"/>
          <w:b/>
          <w:i/>
          <w:color w:val="305496"/>
          <w:sz w:val="22"/>
        </w:rPr>
        <w:t>fs ≥ 2·fmaks       falias = |fsinyal − k·fs|</w:t>
      </w:r>
    </w:p>
    <w:p>
      <w:pPr>
        <w:spacing w:line="360" w:lineRule="auto" w:after="120"/>
        <w:jc w:val="both"/>
      </w:pPr>
      <w:r>
        <w:rPr>
          <w:rFonts w:ascii="Arial" w:hAnsi="Arial" w:cs="Arial"/>
          <w:b/>
          <w:i w:val="0"/>
          <w:sz w:val="22"/>
        </w:rPr>
        <w:t xml:space="preserve">Konsekuensi Aliasing pada Diagnosis Getaran: </w:t>
      </w:r>
      <w:r>
        <w:rPr>
          <w:rFonts w:ascii="Arial" w:hAnsi="Arial" w:cs="Arial"/>
          <w:b w:val="0"/>
          <w:i w:val="0"/>
          <w:sz w:val="22"/>
        </w:rPr>
        <w:t>Konsekuensi aliasing pada analisis getaran bisa berakibat fatal secara diagnostik: bila sistem monitoring bearing men-sampling pada fs=1000 Hz padahal frekuensi kerusakan sebenarnya (BPFO) berada di 1200 Hz (melebihi Nyquist 500 Hz), maka energi kerusakan tersebut akan muncul sebagai alias di sekitar |1200−1000|=200 Hz pada spektrum FFT, sebuah frekuensi yang sama sekali tidak berkaitan dengan geometri bearing yang sesungguhnya. Analis yang tidak menyadari fenomena ini berisiko salah mendiagnosis sumber kerusakan, atau lebih buruk, mengabaikan sinyal peringatan dini karena dianggap noise acak pada frekuensi yang tidak relevan.</w:t>
      </w:r>
    </w:p>
    <w:p>
      <w:pPr>
        <w:spacing w:line="360" w:lineRule="auto" w:after="120"/>
        <w:jc w:val="both"/>
      </w:pPr>
      <w:r>
        <w:rPr>
          <w:rFonts w:ascii="Arial" w:hAnsi="Arial" w:cs="Arial"/>
          <w:b w:val="0"/>
          <w:i w:val="0"/>
          <w:sz w:val="22"/>
        </w:rPr>
        <w:t>Solusi standar industri adalah memasang anti-aliasing filter analog (low-pass hardware, bukan digital) SEBELUM tahap ADC, dengan cutoff frequency di bawah fs/2. Filter digital tidak bisa menggantikan peran ini karena proses sampling sudah terjadi lebih dulu: begitu sinyal ter-alias saat sampling, informasi frekuensi aslinya hilang permanen dan tidak dapat direkonstruksi ulang oleh pemrosesan digital apa pun setelahnya, betapapun canggihnya algoritma yang digunakan.</w:t>
      </w:r>
    </w:p>
    <w:p>
      <w:pPr>
        <w:spacing w:line="360" w:lineRule="auto" w:after="120"/>
        <w:jc w:val="both"/>
      </w:pPr>
      <w:r>
        <w:rPr>
          <w:rFonts w:ascii="Arial" w:hAnsi="Arial" w:cs="Arial"/>
          <w:b/>
          <w:i w:val="0"/>
          <w:sz w:val="22"/>
        </w:rPr>
        <w:t xml:space="preserve">Contoh Perhitungan Sampling Rate: </w:t>
      </w:r>
      <w:r>
        <w:rPr>
          <w:rFonts w:ascii="Arial" w:hAnsi="Arial" w:cs="Arial"/>
          <w:b w:val="0"/>
          <w:i w:val="0"/>
          <w:sz w:val="22"/>
        </w:rPr>
        <w:t>Sebagai perhitungan praktis: untuk mendeteksi harmonik hingga orde ke-5 dari frekuensi putaran motor 3000 rpm (50 Hz), sistem monitoring memerlukan sampling rate fs ≥ 2×(5×50)=500 Hz secara teori, namun praktik industri umumnya menerapkan margin keamanan 2,56× (mengikuti rekomendasi standar analisis FFT windowed) sehingga fs yang dipilih menjadi sekitar 1280 Hz, dibulatkan ke nilai standar terdekat pada datasheet DAQ komersial, misalnya 2000 Hz.</w:t>
      </w:r>
    </w:p>
    <w:p>
      <w:pPr>
        <w:keepNext/>
        <w:spacing w:before="120" w:after="40"/>
        <w:jc w:val="center"/>
      </w:pPr>
      <w:r>
        <w:drawing>
          <wp:inline xmlns:a="http://schemas.openxmlformats.org/drawingml/2006/main" xmlns:pic="http://schemas.openxmlformats.org/drawingml/2006/picture">
            <wp:extent cx="5472000" cy="311322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5472000" cy="311322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p>
    <w:p>
      <w:pPr>
        <w:spacing w:before="40" w:after="120"/>
        <w:jc w:val="center"/>
      </w:pPr>
      <w:r>
        <w:rPr>
          <w:rFonts w:ascii="Arial" w:hAnsi="Arial" w:cs="Arial"/>
          <w:b/>
          <w:i/>
          <w:color w:val="305496"/>
          <w:sz w:val="22"/>
        </w:rPr>
        <w:t>Bandwidth (B/s) = fs · (bits/8) · channels          Storage = Bandwidth · durasi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Retention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 Tech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Hot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Full raw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NVMe SSD industrial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Forensic investigation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Warm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1-sec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Local TSDB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Recent dashboards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Cloud Standard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1-min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tahun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InfluxDB Cloud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Trending, historical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Cloud Cold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1-hour stats</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 tahun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S3 + Parquet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Compliance, audit</w:t>
            </w:r>
          </w:p>
        </w:tc>
      </w:tr>
    </w:tbl>
    <w:p>
      <w:pPr>
        <w:spacing w:after="80"/>
      </w:pPr>
    </w:p>
    <w:p>
      <w:pPr>
        <w:spacing w:line="360" w:lineRule="auto" w:after="120"/>
        <w:jc w:val="both"/>
      </w:pPr>
      <w:r>
        <w:rPr>
          <w:rFonts w:ascii="Arial" w:hAnsi="Arial" w:cs="Arial"/>
          <w:b/>
          <w:i w:val="0"/>
          <w:sz w:val="22"/>
        </w:rPr>
        <w:t xml:space="preserve">Perhitungan Kapasitas Edge Buffer: </w:t>
      </w:r>
      <w:r>
        <w:rPr>
          <w:rFonts w:ascii="Arial" w:hAnsi="Arial" w:cs="Arial"/>
          <w:b w:val="0"/>
          <w:i w:val="0"/>
          <w:sz w:val="22"/>
        </w:rPr>
        <w:t>Perhitungan kapasitas edge buffer perlu mempertimbangkan skenario forensik konkret: bila terjadi kegagalan bearing mendadak, tim maintenance idealnya dapat menelusuri kembali data mentah resolusi penuh beberapa hari sebelum kejadian untuk mengidentifikasi tanda-tanda awal yang terlewat oleh sistem alert otomatis. Dengan asumsi 8 motor pada fs=10 kHz masing-masing menghasilkan 70 MB/jam, total volume harian mencapai 13,6 GB, sehingga retensi 15 hari pada tier Edge Hot membutuhkan kapasitas SSD sekitar 204 GB, sudah termasuk margin untuk metadata dan indexing.</w:t>
      </w:r>
    </w:p>
    <w:p>
      <w:pPr>
        <w:spacing w:line="360" w:lineRule="auto" w:after="120"/>
        <w:jc w:val="both"/>
      </w:pPr>
      <w:r>
        <w:rPr>
          <w:rFonts w:ascii="Arial" w:hAnsi="Arial" w:cs="Arial"/>
          <w:b w:val="0"/>
          <w:i w:val="0"/>
          <w:sz w:val="22"/>
        </w:rPr>
        <w:t>Pemilihan teknologi penyimpanan pada tiap tier juga mempertimbangkan pola akses data yang berbeda: tier Edge Hot dioptimalkan untuk write throughput tinggi (data terus mengalir masuk secara real-time) dan sesekali random-read saat investigasi forensik, sehingga NVMe SSD dengan endurance tinggi (TBW besar) menjadi pilihan tepat. Sebaliknya, tier Cloud Cold dioptimalkan untuk cost-per-GB serendah mungkin karena data jarang diakses (hanya untuk audit atau compliance), sehingga object storage seperti Amazon S3 Glacier atau setara jauh lebih ekonomis dibanding menyimpan seluruh histori pada database aktif.</w:t>
      </w:r>
    </w:p>
    <w:p>
      <w:pPr>
        <w:spacing w:line="360" w:lineRule="auto" w:after="120"/>
        <w:jc w:val="both"/>
      </w:pPr>
      <w:r>
        <w:rPr>
          <w:rFonts w:ascii="Arial" w:hAnsi="Arial" w:cs="Arial"/>
          <w:b w:val="0"/>
          <w:i w:val="0"/>
          <w:sz w:val="22"/>
        </w:rPr>
        <w:t>Transisi data antar tier (tiering policy) umumnya diotomatisasi melalui job terjadwal yang menghitung agregat statistik (mean, RMS, peak per menit/jam) dari data resolusi penuh sebelum data mentah tersebut dihapus dari tier hot, sehingga informasi tren jangka panjang tetap tersedia meski detail resolusi tinggi sudah tidak lagi disimpan. Kebijakan retention period pada tiap tier idealnya disesuaikan dengan regulasi industri yang berlaku (mis. ISO 55001 untuk asset management), bukan sekadar keputusan teknis semata.</w:t>
      </w: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cocok untuk 1-beberapa sensor, batasi maksimal sekitar 10 ribu titik ditampilkan (downsampling untuk data lebih besar), beri judul informatif, unit eksplisit pada sumbu, grid transparan (alpha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Plot Terbaik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Trend RMS 1 motor, 1 minggu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Line + threshold overlay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matplotlib / plotly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startup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Spectrogram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scipy + imshow</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100 motor, daily RMS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Heatmap (annotated)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 Grafana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Per-shift performance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Boxplot side-by-side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boxplot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Real-time monitoring wall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Live dashboard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Grafana + InfluxDB</w:t>
            </w:r>
          </w:p>
        </w:tc>
      </w:tr>
    </w:tbl>
    <w:p>
      <w:pPr>
        <w:spacing w:after="80"/>
      </w:pPr>
    </w:p>
    <w:p>
      <w:pPr>
        <w:spacing w:line="360" w:lineRule="auto" w:after="120"/>
        <w:jc w:val="both"/>
      </w:pPr>
      <w:r>
        <w:rPr>
          <w:rFonts w:ascii="Arial" w:hAnsi="Arial" w:cs="Arial"/>
          <w:b/>
          <w:i w:val="0"/>
          <w:sz w:val="22"/>
        </w:rPr>
        <w:t xml:space="preserve">Konvensi Warna Threshold: </w:t>
      </w:r>
      <w:r>
        <w:rPr>
          <w:rFonts w:ascii="Arial" w:hAnsi="Arial" w:cs="Arial"/>
          <w:b w:val="0"/>
          <w:i w:val="0"/>
          <w:sz w:val="22"/>
        </w:rPr>
        <w:t>Pemilihan warna threshold pada line plot multi-motor idealnya mengikuti konvensi universal yang sudah dikenal operator: hijau untuk kondisi baik, oranye untuk peringatan, dan merah untuk kritis, konsisten dengan skema warna traffic light yang dipakai di hampir semua dashboard SCADA industri. Konsistensi warna ini penting agar operator shift baru dapat langsung membaca kondisi mesin tanpa perlu mempelajari legenda khusus tiap sistem, mempercepat respons saat terjadi kondisi abnormal yang membutuhkan tindakan cepat.</w:t>
      </w:r>
    </w:p>
    <w:p>
      <w:pPr>
        <w:spacing w:line="360" w:lineRule="auto" w:after="120"/>
        <w:jc w:val="both"/>
      </w:pPr>
      <w:r>
        <w:rPr>
          <w:rFonts w:ascii="Arial" w:hAnsi="Arial" w:cs="Arial"/>
          <w:b w:val="0"/>
          <w:i w:val="0"/>
          <w:sz w:val="22"/>
        </w:rPr>
        <w:t>Overlay threshold ISO 10816 pada Gambar 5 sekaligus menunjukkan manfaat visualisasi multi-motor dalam satu plot dibanding memantau tiap motor secara terpisah: anomali gradual pada Motor 2 (mulai menit ke-30) dapat langsung dibandingkan konteksnya terhadap tiga motor sejenis yang beroperasi normal pada rentang waktu yang sama, sehingga operator dapat membedakan dengan cepat apakah kenaikan RMS disebabkan oleh gangguan spesifik pada satu unit mesin, atau justru gangguan sistemik yang memengaruhi seluruh lini produksi (misalnya fluktuasi tegangan suplai listrik).</w:t>
      </w:r>
    </w:p>
    <w:p>
      <w:pPr>
        <w:keepNext/>
        <w:spacing w:before="120" w:after="40"/>
        <w:jc w:val="center"/>
      </w:pPr>
      <w:r>
        <w:drawing>
          <wp:inline xmlns:a="http://schemas.openxmlformats.org/drawingml/2006/main" xmlns:pic="http://schemas.openxmlformats.org/drawingml/2006/picture">
            <wp:extent cx="5472000" cy="357030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5472000" cy="357030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spacing w:line="360" w:lineRule="auto" w:after="120"/>
        <w:jc w:val="both"/>
      </w:pPr>
      <w:r>
        <w:rPr>
          <w:rFonts w:ascii="Arial" w:hAnsi="Arial" w:cs="Arial"/>
          <w:b/>
          <w:i w:val="0"/>
          <w:sz w:val="22"/>
        </w:rPr>
        <w:t xml:space="preserve">Spectrogram pada Motor Variable Speed Drive: </w:t>
      </w:r>
      <w:r>
        <w:rPr>
          <w:rFonts w:ascii="Arial" w:hAnsi="Arial" w:cs="Arial"/>
          <w:b w:val="0"/>
          <w:i w:val="0"/>
          <w:sz w:val="22"/>
        </w:rPr>
        <w:t>Spectrogram terutama berguna pada motor dengan Variable Speed Drive (VSD), di mana kecepatan putar (dan seluruh frekuensi karakteristik yang bergantung padanya, seperti frekuensi putaran rotor dan harmonik gear mesh) berubah secara kontinu mengikuti perintah kecepatan dari kontroler. Pada kondisi ini, spektrum FFT tunggal yang dihitung dari keseluruhan durasi rekaman menjadi sulit diinterpretasi karena mencampur seluruh rentang frekuensi operasi sekaligus; spectrogram menyelesaikan masalah ini dengan menampilkan evolusi spektrum terhadap waktu, sehingga jejak tiap komponen frekuensi dapat ditelusuri seiring perubahan kecepatan motor.</w:t>
      </w:r>
    </w:p>
    <w:p>
      <w:pPr>
        <w:keepNext/>
        <w:spacing w:before="120" w:after="40"/>
        <w:jc w:val="center"/>
      </w:pPr>
      <w:r>
        <w:drawing>
          <wp:inline xmlns:a="http://schemas.openxmlformats.org/drawingml/2006/main" xmlns:pic="http://schemas.openxmlformats.org/drawingml/2006/picture">
            <wp:extent cx="5472000" cy="3566954"/>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5472000" cy="3566954"/>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6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spacing w:line="360" w:lineRule="auto" w:after="120"/>
        <w:jc w:val="both"/>
      </w:pPr>
      <w:r>
        <w:rPr>
          <w:rFonts w:ascii="Arial" w:hAnsi="Arial" w:cs="Arial"/>
          <w:b/>
          <w:i w:val="0"/>
          <w:sz w:val="22"/>
        </w:rPr>
        <w:t xml:space="preserve">Pemilihan Bin Waktu Heatmap: </w:t>
      </w:r>
      <w:r>
        <w:rPr>
          <w:rFonts w:ascii="Arial" w:hAnsi="Arial" w:cs="Arial"/>
          <w:b w:val="0"/>
          <w:i w:val="0"/>
          <w:sz w:val="22"/>
        </w:rPr>
        <w:t>Praktik terbaik desain heatmap untuk monitoring skala besar melibatkan pemilihan bin waktu yang tepat: bin terlalu halus (mis. per-detik) pada horizon waktu panjang (bulanan) menghasilkan ribuan kolom yang tidak lagi terbaca visual, sementara bin terlalu kasar (mis. per-hari) pada horizon pendek (harian) menyembunyikan pola anomali jangka pendek yang justru penting untuk deteksi dini. Aturan praktis: pilih bin sedemikian rupa sehingga total kolom heatmap tetap berada di kisaran 50-200 agar tetap terbaca dalam satu layar tanpa perlu scroll horizontal berlebihan.</w:t>
      </w:r>
    </w:p>
    <w:p>
      <w:pPr>
        <w:spacing w:line="360" w:lineRule="auto" w:after="120"/>
        <w:jc w:val="both"/>
      </w:pPr>
      <w:r>
        <w:rPr>
          <w:rFonts w:ascii="Arial" w:hAnsi="Arial" w:cs="Arial"/>
          <w:b w:val="0"/>
          <w:i w:val="0"/>
          <w:sz w:val="22"/>
        </w:rPr>
        <w:t>Pewarnaan (colormap) heatmap juga krusial untuk interpretasi yang benar: colormap sequential seperti viridis atau plasma cocok untuk data yang secara alami memiliki urutan rendah-ke-tinggi (seperti RMS getaran), sedangkan colormap diverging (mis. RdBu) lebih tepat dipakai saat nilai nol memiliki makna khusus (misalnya deviasi dari baseline). Menambahkan anotasi angka pada sel yang melewati ambang batas, seperti dicontohkan pada Gambar 7, membantu operator langsung memahami skala masalah tanpa harus menerka dari gradasi warna semata, terutama penting untuk laporan yang akan dicetak hitam-putih.</w:t>
      </w:r>
    </w:p>
    <w:p>
      <w:pPr>
        <w:keepNext/>
        <w:spacing w:before="120" w:after="40"/>
        <w:jc w:val="center"/>
      </w:pPr>
      <w:r>
        <w:drawing>
          <wp:inline xmlns:a="http://schemas.openxmlformats.org/drawingml/2006/main" xmlns:pic="http://schemas.openxmlformats.org/drawingml/2006/picture">
            <wp:extent cx="5472000" cy="3412645"/>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472000" cy="3412645"/>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7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p3_visualisasi_akuisisi.ipynb. Gambar 8 menunjukkan cuplikan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spacing w:line="360" w:lineRule="auto" w:after="120"/>
        <w:jc w:val="both"/>
      </w:pPr>
      <w:r>
        <w:rPr>
          <w:rFonts w:ascii="Arial" w:hAnsi="Arial" w:cs="Arial"/>
          <w:b w:val="0"/>
          <w:i w:val="0"/>
          <w:sz w:val="22"/>
        </w:rPr>
        <w:t>Keempat cell tersebut, bila dijalankan berurutan dalam satu notebook, menghasilkan alur kerja end-to-end mulai dari data mentah tersimulasi hingga perbandingan efisiensi format penyimpanan, mencerminkan pipeline visualisasi dan akuisisi data yang telah dibahas sepanjang pertemuan ini secara utuh dan siap diadaptasi ke data sensor riil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DR = 2^N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storage requirement dalam MB untuk 1 jam data ADC fs=10 kHz, 16-bit, 1 channel. Konversi: 1 MB = 1024^2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bandwidth x durasi (detik), lalu bagi 1024^2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Dynamic range (dB) = 6,02 x N_bits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Hitung LSB (Least Significant Bit) dalam microvolt untuk ADC ±10V (rentang 20V), 16-bit. Rumus: LSB = Vrange / 2^N,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LSB = rentang tegangan / 2^N;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storage requirement edge tier dalam GB untuk arsitektur: 8 motor, fs=10 kHz, 16-bit, retensi 15 hari. Rumus: storage_GB = fs · (bits/8) · channels · detik_per_hari · hari / 1024^3.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fs x (bits/8) x channel x detik_per_hari x jumlah_hari, lalu bagi 1024^3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