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22"/>
          <w:szCs w:val="22"/>
        </w:rPr>
        <w:t xml:space="preserve">Knowledge-Based Systems</w:t>
      </w:r>
    </w:p>
    <w:p>
      <w:pPr>
        <w:spacing w:after="240"/>
      </w:pPr>
      <w:r>
        <w:rPr>
          <w:rFonts w:ascii="Times New Roman" w:cs="Times New Roman" w:eastAsia="Times New Roman" w:hAnsi="Times New Roman"/>
          <w:sz w:val="22"/>
          <w:szCs w:val="22"/>
        </w:rPr>
        <w:t xml:space="preserve">Editorial Office — Editor-in-Chief</w:t>
      </w:r>
    </w:p>
    <w:p>
      <w:pPr>
        <w:spacing w:after="160" w:line="276"/>
      </w:pPr>
      <w:r>
        <w:rPr>
          <w:rFonts w:ascii="Times New Roman" w:cs="Times New Roman" w:eastAsia="Times New Roman" w:hAnsi="Times New Roman"/>
          <w:sz w:val="22"/>
          <w:szCs w:val="22"/>
        </w:rPr>
        <w:t xml:space="preserve">Dear Editor-in-Chief,</w:t>
      </w:r>
    </w:p>
    <w:p>
      <w:pPr>
        <w:spacing w:after="160" w:line="276"/>
      </w:pPr>
      <w:r>
        <w:rPr>
          <w:rFonts w:ascii="Times New Roman" w:cs="Times New Roman" w:eastAsia="Times New Roman" w:hAnsi="Times New Roman"/>
          <w:sz w:val="22"/>
          <w:szCs w:val="22"/>
        </w:rPr>
        <w:t xml:space="preserve">We are pleased to submit our manuscript entitled “</w:t>
      </w:r>
      <w:r>
        <w:rPr>
          <w:rFonts w:ascii="Times New Roman" w:cs="Times New Roman" w:eastAsia="Times New Roman" w:hAnsi="Times New Roman"/>
          <w:i/>
          <w:iCs/>
          <w:sz w:val="22"/>
          <w:szCs w:val="22"/>
        </w:rPr>
        <w:t xml:space="preserve">A Changepoint Robustness Metric and Causal Regime-Shift Knowledge Injection for Reliable Demand Forecasting under Structural Change</w:t>
      </w:r>
      <w:r>
        <w:rPr>
          <w:rFonts w:ascii="Times New Roman" w:cs="Times New Roman" w:eastAsia="Times New Roman" w:hAnsi="Times New Roman"/>
          <w:sz w:val="22"/>
          <w:szCs w:val="22"/>
        </w:rPr>
        <w:t xml:space="preserve">” for consideration as an original research article in </w:t>
      </w:r>
      <w:r>
        <w:rPr>
          <w:rFonts w:ascii="Times New Roman" w:cs="Times New Roman" w:eastAsia="Times New Roman" w:hAnsi="Times New Roman"/>
          <w:i/>
          <w:iCs/>
          <w:sz w:val="22"/>
          <w:szCs w:val="22"/>
        </w:rPr>
        <w:t xml:space="preserve">Knowledge-Based Systems</w:t>
      </w:r>
      <w:r>
        <w:rPr>
          <w:rFonts w:ascii="Times New Roman" w:cs="Times New Roman" w:eastAsia="Times New Roman" w:hAnsi="Times New Roman"/>
          <w:sz w:val="22"/>
          <w:szCs w:val="22"/>
        </w:rPr>
        <w:t xml:space="preserve">.</w:t>
      </w:r>
    </w:p>
    <w:p>
      <w:pPr>
        <w:spacing w:after="160" w:line="276"/>
      </w:pPr>
      <w:r>
        <w:rPr>
          <w:rFonts w:ascii="Times New Roman" w:cs="Times New Roman" w:eastAsia="Times New Roman" w:hAnsi="Times New Roman"/>
          <w:sz w:val="22"/>
          <w:szCs w:val="22"/>
        </w:rPr>
        <w:t xml:space="preserve">Forecasting models are routinely evaluated with horizon-averaged accuracy metrics that mask their most consequential failures: large errors at structural breaks, or changepoints, where the data-generating process shifts. Our primary contribution is diagnostic. We introduce ρ, a changepoint robustness ratio that decomposes a model’s error into accuracy near detected changepoints versus accuracy in stable regions, exposing a fragility that aggregate metrics hide. Using ρ on 168,987 quarterly United States Medicaid drug-utilization series, we report an honest negative result: an intuitive changepoint-aware weighted loss lowers ρ only by inflating stable-region error, not by improving changepoint accuracy—demonstrating that error re-weighting alone cannot confer robustness, and that regime information must instead be supplied to the model. Acting on this, a deliberately simple causal local-shift augmentation significantly reduces changepoint error (MAE_cp 1.116→1.085; Diebold–Mariano 23.2, p &lt; 0.001), surpassing classical and modern baselines (ARIMA, seasonal-naive, DLinear) and transferring to a state-of-the-art iTransformer backbone. A cross-dataset study on M5 retail demand confirms that ρ reproduces the fragility pattern in an independent domain, and a conditioning analysis establishes a testable rule for when the augmentation helps: its benefit grows with the persistence of a series’ changepoints, so ρ doubles as a screening criterion for when the remedy should be applied.</w:t>
      </w:r>
    </w:p>
    <w:p>
      <w:pPr>
        <w:spacing w:after="160" w:line="276"/>
      </w:pPr>
      <w:r>
        <w:rPr>
          <w:rFonts w:ascii="Times New Roman" w:cs="Times New Roman" w:eastAsia="Times New Roman" w:hAnsi="Times New Roman"/>
          <w:sz w:val="22"/>
          <w:szCs w:val="22"/>
        </w:rPr>
        <w:t xml:space="preserve">This work falls squarely within the journal’s scope on </w:t>
      </w:r>
      <w:r>
        <w:rPr>
          <w:rFonts w:ascii="Times New Roman" w:cs="Times New Roman" w:eastAsia="Times New Roman" w:hAnsi="Times New Roman"/>
          <w:i/>
          <w:iCs/>
          <w:sz w:val="22"/>
          <w:szCs w:val="22"/>
        </w:rPr>
        <w:t xml:space="preserve">intelligent decision support and prediction systems</w:t>
      </w:r>
      <w:r>
        <w:rPr>
          <w:rFonts w:ascii="Times New Roman" w:cs="Times New Roman" w:eastAsia="Times New Roman" w:hAnsi="Times New Roman"/>
          <w:sz w:val="22"/>
          <w:szCs w:val="22"/>
        </w:rPr>
        <w:t xml:space="preserve"> and on </w:t>
      </w:r>
      <w:r>
        <w:rPr>
          <w:rFonts w:ascii="Times New Roman" w:cs="Times New Roman" w:eastAsia="Times New Roman" w:hAnsi="Times New Roman"/>
          <w:i/>
          <w:iCs/>
          <w:sz w:val="22"/>
          <w:szCs w:val="22"/>
        </w:rPr>
        <w:t xml:space="preserve">machine-learning methodology and algorithms</w:t>
      </w:r>
      <w:r>
        <w:rPr>
          <w:rFonts w:ascii="Times New Roman" w:cs="Times New Roman" w:eastAsia="Times New Roman" w:hAnsi="Times New Roman"/>
          <w:sz w:val="22"/>
          <w:szCs w:val="22"/>
        </w:rPr>
        <w:t xml:space="preserve">: it treats detected structural breaks as explicit, causally extracted knowledge—turning that knowledge into a decomposable diagnostic of model reliability and injecting it back into the forecaster as a decision-relevant signal—to support reliable decision-making precisely when demand dynamics shift.</w:t>
      </w:r>
    </w:p>
    <w:p>
      <w:pPr>
        <w:spacing w:after="160" w:line="276"/>
      </w:pPr>
      <w:r>
        <w:rPr>
          <w:rFonts w:ascii="Times New Roman" w:cs="Times New Roman" w:eastAsia="Times New Roman" w:hAnsi="Times New Roman"/>
          <w:sz w:val="22"/>
          <w:szCs w:val="22"/>
        </w:rPr>
        <w:t xml:space="preserve">We confirm that this manuscript is original, has not been published previously (except, where applicable, as a preprint), and is not under consideration for publication elsewhere. All authors have approved the submission and agree with its content and order of authorship. The authors declare no competing interests. The use of generative AI tools is disclosed in the manuscript. The underlying public datasets are identified in the Data Availability statement, and code will be archived with a permanent identifier.</w:t>
      </w:r>
    </w:p>
    <w:p>
      <w:pPr>
        <w:spacing w:after="240"/>
      </w:pPr>
      <w:r>
        <w:rPr>
          <w:rFonts w:ascii="Times New Roman" w:cs="Times New Roman" w:eastAsia="Times New Roman" w:hAnsi="Times New Roman"/>
          <w:sz w:val="22"/>
          <w:szCs w:val="22"/>
        </w:rPr>
        <w:t xml:space="preserve">We believe this work will be of interest to the readership of Knowledge-Based Systems and look forward to your assessment.</w:t>
      </w:r>
    </w:p>
    <w:p>
      <w:pPr>
        <w:spacing w:after="200"/>
      </w:pPr>
      <w:r>
        <w:rPr>
          <w:rFonts w:ascii="Times New Roman" w:cs="Times New Roman" w:eastAsia="Times New Roman" w:hAnsi="Times New Roman"/>
          <w:sz w:val="22"/>
          <w:szCs w:val="22"/>
        </w:rPr>
        <w:t xml:space="preserve">Sincerely,</w:t>
      </w:r>
    </w:p>
    <w:p>
      <w:pPr>
        <w:spacing w:after="20"/>
      </w:pPr>
      <w:r>
        <w:rPr>
          <w:rFonts w:ascii="Times New Roman" w:cs="Times New Roman" w:eastAsia="Times New Roman" w:hAnsi="Times New Roman"/>
          <w:b/>
          <w:bCs/>
          <w:sz w:val="22"/>
          <w:szCs w:val="22"/>
        </w:rPr>
        <w:t xml:space="preserve">Dedi Irawan (Corresponding author)</w:t>
      </w:r>
    </w:p>
    <w:p>
      <w:pPr>
        <w:spacing w:after="20"/>
      </w:pPr>
      <w:r>
        <w:rPr>
          <w:rFonts w:ascii="Times New Roman" w:cs="Times New Roman" w:eastAsia="Times New Roman" w:hAnsi="Times New Roman"/>
          <w:sz w:val="22"/>
          <w:szCs w:val="22"/>
        </w:rPr>
        <w:t xml:space="preserve">on behalf of all authors: Dedi Irawan, Sudarmaji, Imam Samsudin</w:t>
      </w:r>
    </w:p>
    <w:p>
      <w:pPr>
        <w:spacing w:after="20"/>
      </w:pPr>
      <w:r>
        <w:rPr>
          <w:rFonts w:ascii="Times New Roman" w:cs="Times New Roman" w:eastAsia="Times New Roman" w:hAnsi="Times New Roman"/>
          <w:sz w:val="22"/>
          <w:szCs w:val="22"/>
        </w:rPr>
        <w:t xml:space="preserve">Faculty of Computer Science, Muhammadiyah University of Metro, Metro, Lampung, Indonesia</w:t>
      </w:r>
    </w:p>
    <w:p>
      <w:pPr>
        <w:spacing w:after="20"/>
      </w:pPr>
      <w:r>
        <w:rPr>
          <w:rFonts w:ascii="Times New Roman" w:cs="Times New Roman" w:eastAsia="Times New Roman" w:hAnsi="Times New Roman"/>
          <w:sz w:val="22"/>
          <w:szCs w:val="22"/>
        </w:rPr>
        <w:t xml:space="preserve">E-mail: dedimti@ummetro.ac.id</w:t>
      </w:r>
    </w:p>
    <w:p>
      <w:pPr>
        <w:spacing w:after="160" w:line="276"/>
      </w:pPr>
      <w:r>
        <w:rPr>
          <w:rFonts w:ascii="Times New Roman" w:cs="Times New Roman" w:eastAsia="Times New Roman" w:hAnsi="Times New Roman"/>
          <w:sz w:val="22"/>
          <w:szCs w:val="22"/>
        </w:rPr>
        <w:t xml:space="preserve">ORCID: 0009-0007-4973-926X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2026-06-24T21:34:09.137Z</dcterms:created>
  <dcterms:modified xsi:type="dcterms:W3CDTF">2026-06-24T21:34:09.138Z</dcterms:modified>
</cp:coreProperties>
</file>

<file path=docProps/custom.xml><?xml version="1.0" encoding="utf-8"?>
<Properties xmlns="http://schemas.openxmlformats.org/officeDocument/2006/custom-properties" xmlns:vt="http://schemas.openxmlformats.org/officeDocument/2006/docPropsVTypes"/>
</file>