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rPr>
          <w:sz w:val="32"/>
          <w:szCs w:val="32"/>
        </w:rPr>
        <w:t xml:space="preserve">Anthropometric data leakage inflates machine learning performance in child stunting prediction</w:t>
      </w:r>
    </w:p>
    <w:p/>
    <w:p>
      <w:pPr>
        <w:jc w:val="center"/>
      </w:pPr>
      <w:r>
        <w:rPr>
          <w:b/>
          <w:bCs/>
        </w:rPr>
        <w:t xml:space="preserve">Ahmad Dedi Jubaedi</w:t>
      </w:r>
      <w:r>
        <w:rPr>
          <w:b/>
          <w:bCs/>
          <w:vertAlign w:val="superscript"/>
        </w:rPr>
        <w:t xml:space="preserve">1</w:t>
      </w:r>
      <w:r>
        <w:rPr>
          <w:b/>
          <w:bCs/>
        </w:rPr>
        <w:t xml:space="preserve">, </w:t>
      </w:r>
      <w:r>
        <w:rPr>
          <w:b/>
          <w:bCs/>
        </w:rPr>
        <w:t xml:space="preserve">Pulung Nurtantio Andono</w:t>
      </w:r>
      <w:r>
        <w:rPr>
          <w:b/>
          <w:bCs/>
          <w:vertAlign w:val="superscript"/>
        </w:rPr>
        <w:t xml:space="preserve">2</w:t>
      </w:r>
      <w:r>
        <w:rPr>
          <w:b/>
          <w:bCs/>
        </w:rPr>
        <w:t xml:space="preserve">, </w:t>
      </w:r>
      <w:r>
        <w:rPr>
          <w:b/>
          <w:bCs/>
        </w:rPr>
        <w:t xml:space="preserve">Nova Rijati</w:t>
      </w:r>
      <w:r>
        <w:rPr>
          <w:b/>
          <w:bCs/>
          <w:vertAlign w:val="superscript"/>
        </w:rPr>
        <w:t xml:space="preserve">2</w:t>
      </w:r>
      <w:r>
        <w:rPr>
          <w:b/>
          <w:bCs/>
        </w:rPr>
        <w:t xml:space="preserve">, </w:t>
      </w:r>
      <w:r>
        <w:rPr>
          <w:b/>
          <w:bCs/>
        </w:rPr>
        <w:t xml:space="preserve">Ahmad Zainul Fanani</w:t>
      </w:r>
      <w:r>
        <w:rPr>
          <w:b/>
          <w:bCs/>
          <w:vertAlign w:val="superscript"/>
        </w:rPr>
        <w:t xml:space="preserve">2</w:t>
      </w:r>
    </w:p>
    <w:p>
      <w:pPr>
        <w:jc w:val="center"/>
      </w:pPr>
      <w:r>
        <w:rPr>
          <w:sz w:val="16"/>
          <w:szCs w:val="16"/>
          <w:vertAlign w:val="superscript"/>
        </w:rPr>
        <w:t xml:space="preserve">1</w:t>
      </w:r>
      <w:r>
        <w:rPr>
          <w:sz w:val="16"/>
          <w:szCs w:val="16"/>
        </w:rPr>
        <w:t xml:space="preserve">Faculty of Computer Science, Universitas Serang Raya, Banten, Indonesia</w:t>
      </w:r>
    </w:p>
    <w:p>
      <w:pPr>
        <w:jc w:val="center"/>
      </w:pPr>
      <w:r>
        <w:rPr>
          <w:sz w:val="16"/>
          <w:szCs w:val="16"/>
          <w:vertAlign w:val="superscript"/>
        </w:rPr>
        <w:t xml:space="preserve">2</w:t>
      </w:r>
      <w:r>
        <w:rPr>
          <w:sz w:val="16"/>
          <w:szCs w:val="16"/>
        </w:rPr>
        <w:t xml:space="preserve">Faculty of Computer Science, Universitas Dian Nuswantoro, Semarang, Indonesia</w:t>
      </w:r>
    </w:p>
    <w:p/>
    <w:tbl>
      <w:tblPr>
        <w:tblStyle w:val="TableGrid"/>
        <w:tblW w:w="8845" w:type="dxa"/>
        <w:jc w:val="center"/>
        <w:tblLook w:val="04A0" w:firstRow="1" w:lastRow="0" w:firstColumn="1" w:lastColumn="0" w:noHBand="0" w:noVBand="1"/>
      </w:tblPr>
      <w:tblGrid>
        <w:gridCol w:w="2787"/>
        <w:gridCol w:w="282"/>
        <w:gridCol w:w="5776"/>
      </w:tblGrid>
      <w:tr w:rsidR="006B027E" w:rsidRPr="00843E6B" w14:paraId="513CAD48" w14:textId="77777777" w:rsidTr="00E77E1F">
        <w:trPr>
          <w:jc w:val="center"/>
        </w:trPr>
        <w:tc>
          <w:tcPr>
            <w:tcW w:w="2802" w:type="dxa"/>
            <w:tcBorders>
              <w:top w:val="double" w:sz="4" w:space="0" w:color="auto"/>
              <w:left w:val="nil"/>
              <w:bottom w:val="single" w:sz="4" w:space="0" w:color="auto"/>
              <w:right w:val="nil"/>
            </w:tcBorders>
          </w:tcPr>
          <w:p w14:paraId="22234552" w14:textId="77777777" w:rsidR="00957C11" w:rsidRPr="00843E6B" w:rsidRDefault="00957C11" w:rsidP="00957C11">
            <w:pPr>
              <w:spacing w:before="120"/>
              <w:jc w:val="both"/>
              <w:rPr>
                <w:b/>
              </w:rPr>
            </w:pPr>
            <w:r w:rsidRPr="00843E6B">
              <w:rPr>
                <w:b/>
              </w:rPr>
              <w:t>Article Info</w:t>
            </w:r>
          </w:p>
        </w:tc>
        <w:tc>
          <w:tcPr>
            <w:tcW w:w="283" w:type="dxa"/>
            <w:tcBorders>
              <w:top w:val="double" w:sz="4" w:space="0" w:color="auto"/>
              <w:left w:val="nil"/>
              <w:bottom w:val="nil"/>
              <w:right w:val="nil"/>
            </w:tcBorders>
          </w:tcPr>
          <w:p w14:paraId="3E270EF1" w14:textId="77777777" w:rsidR="00957C11" w:rsidRPr="00843E6B" w:rsidRDefault="00957C11" w:rsidP="00957C11">
            <w:pPr>
              <w:spacing w:before="120"/>
              <w:jc w:val="center"/>
            </w:pPr>
          </w:p>
        </w:tc>
        <w:tc>
          <w:tcPr>
            <w:tcW w:w="5812" w:type="dxa"/>
            <w:tcBorders>
              <w:top w:val="double" w:sz="4" w:space="0" w:color="auto"/>
              <w:left w:val="nil"/>
              <w:bottom w:val="single" w:sz="4" w:space="0" w:color="auto"/>
              <w:right w:val="nil"/>
            </w:tcBorders>
          </w:tcPr>
          <w:p w14:paraId="7B74F735" w14:textId="77777777" w:rsidR="00957C11" w:rsidRPr="00843E6B" w:rsidRDefault="00957C11" w:rsidP="00957C11">
            <w:pPr>
              <w:spacing w:before="120"/>
              <w:rPr>
                <w:color w:val="000000"/>
                <w:sz w:val="24"/>
                <w:szCs w:val="24"/>
              </w:rPr>
            </w:pPr>
            <w:r w:rsidRPr="00843E6B">
              <w:rPr>
                <w:b/>
                <w:bCs/>
                <w:iCs/>
                <w:color w:val="000000"/>
              </w:rPr>
              <w:t xml:space="preserve">ABSTRACT </w:t>
            </w:r>
            <w:r w:rsidRPr="00843E6B">
              <w:rPr>
                <w:sz w:val="18"/>
                <w:szCs w:val="18"/>
              </w:rPr>
              <w:t/>
            </w:r>
          </w:p>
        </w:tc>
      </w:tr>
      <w:tr w:rsidR="00941203" w:rsidRPr="00843E6B" w14:paraId="66C69584" w14:textId="77777777" w:rsidTr="00E77E1F">
        <w:trPr>
          <w:trHeight w:val="1268"/>
          <w:jc w:val="center"/>
        </w:trPr>
        <w:tc>
          <w:tcPr>
            <w:tcW w:w="2802" w:type="dxa"/>
            <w:tcBorders>
              <w:top w:val="single" w:sz="4" w:space="0" w:color="auto"/>
              <w:left w:val="nil"/>
              <w:bottom w:val="single" w:sz="4" w:space="0" w:color="auto"/>
              <w:right w:val="nil"/>
            </w:tcBorders>
          </w:tcPr>
          <w:p w14:paraId="1FD074E8" w14:textId="77777777" w:rsidR="00941203" w:rsidRPr="00843E6B" w:rsidRDefault="00941203" w:rsidP="00941203">
            <w:pPr>
              <w:spacing w:before="120" w:after="120"/>
              <w:jc w:val="both"/>
              <w:rPr>
                <w:b/>
                <w:i/>
              </w:rPr>
            </w:pPr>
            <w:r w:rsidRPr="00843E6B">
              <w:rPr>
                <w:b/>
                <w:i/>
              </w:rPr>
              <w:t>Article history:</w:t>
            </w:r>
          </w:p>
          <w:p w14:paraId="1B21A247" w14:textId="6E7F6CAB" w:rsidR="00941203" w:rsidRPr="00843E6B" w:rsidRDefault="00941203" w:rsidP="00957C11">
            <w:pPr>
              <w:jc w:val="both"/>
            </w:pPr>
            <w:r w:rsidRPr="00843E6B">
              <w:t xml:space="preserve">Received </w:t>
            </w:r>
            <w:r w:rsidR="00523156" w:rsidRPr="00843E6B">
              <w:t>m</w:t>
            </w:r>
            <w:r w:rsidR="008A4B7F" w:rsidRPr="00843E6B">
              <w:t>onth</w:t>
            </w:r>
            <w:r w:rsidR="00523156" w:rsidRPr="00843E6B">
              <w:t xml:space="preserve"> dd, yyyy</w:t>
            </w:r>
          </w:p>
          <w:p w14:paraId="745B47E5" w14:textId="1EEBCE49" w:rsidR="00941203" w:rsidRPr="00843E6B" w:rsidRDefault="00941203" w:rsidP="00957C11">
            <w:pPr>
              <w:jc w:val="both"/>
            </w:pPr>
            <w:r w:rsidRPr="00843E6B">
              <w:t xml:space="preserve">Revised </w:t>
            </w:r>
            <w:r w:rsidR="008A4B7F" w:rsidRPr="00843E6B">
              <w:t>month</w:t>
            </w:r>
            <w:r w:rsidR="00523156" w:rsidRPr="00843E6B">
              <w:t xml:space="preserve"> dd, yyyy</w:t>
            </w:r>
          </w:p>
          <w:p w14:paraId="6CE20EAE" w14:textId="06415149" w:rsidR="00941203" w:rsidRPr="00843E6B" w:rsidRDefault="00941203" w:rsidP="00957C11">
            <w:pPr>
              <w:jc w:val="both"/>
            </w:pPr>
            <w:r w:rsidRPr="00843E6B">
              <w:t xml:space="preserve">Accepted </w:t>
            </w:r>
            <w:r w:rsidR="008A4B7F" w:rsidRPr="00843E6B">
              <w:t>month</w:t>
            </w:r>
            <w:r w:rsidR="00523156" w:rsidRPr="00843E6B">
              <w:t xml:space="preserve"> dd, yyyy</w:t>
            </w:r>
          </w:p>
          <w:p w14:paraId="375A1808" w14:textId="77777777" w:rsidR="00941203" w:rsidRPr="00843E6B" w:rsidRDefault="00941203" w:rsidP="00941203">
            <w:pPr>
              <w:jc w:val="both"/>
            </w:pPr>
          </w:p>
        </w:tc>
        <w:tc>
          <w:tcPr>
            <w:tcW w:w="283" w:type="dxa"/>
            <w:vMerge w:val="restart"/>
            <w:tcBorders>
              <w:top w:val="nil"/>
              <w:left w:val="nil"/>
              <w:bottom w:val="nil"/>
              <w:right w:val="nil"/>
            </w:tcBorders>
          </w:tcPr>
          <w:p w14:paraId="1658B743" w14:textId="77777777" w:rsidR="00941203" w:rsidRPr="00843E6B" w:rsidRDefault="00941203" w:rsidP="00957C11">
            <w:pPr>
              <w:spacing w:before="120"/>
              <w:jc w:val="both"/>
            </w:pPr>
          </w:p>
        </w:tc>
        <w:tc>
          <w:tcPr>
            <w:tcW w:w="5812" w:type="dxa"/>
            <w:vMerge w:val="restart"/>
            <w:tcBorders>
              <w:top w:val="single" w:sz="4" w:space="0" w:color="auto"/>
              <w:left w:val="nil"/>
              <w:bottom w:val="nil"/>
              <w:right w:val="nil"/>
            </w:tcBorders>
          </w:tcPr>
          <w:p>
            <w:pPr>
              <w:spacing w:before="120"/>
              <w:jc w:val="both"/>
            </w:pPr>
            <w:r>
              <w:rPr>
                <w:sz w:val="18"/>
                <w:szCs w:val="18"/>
              </w:rPr>
              <w:t xml:space="preserve">Many machine learning studies report near-perfect accuracy for predicting child stunting, yet stunting is defined from height, age, and sex, and these same anthropometric variables are frequently used as predictors. This study quantifies how much such target leakage inflates reported performance. Using 84,205 children aged 0–59 months from the 2023 Indonesian Health Survey, we trained logistic regression, random forest, and gradient boosting models on four feature sets: upstream determinants only, determinants plus current weight, determinants plus all current anthropometry, and height, age, and sex alone. Models were evaluated on a household-grouped hold-out set with bootstrap confidence intervals and grouped cross-validation. With determinants only, the area under the ROC curve (AUC) ranged from 0.654 to 0.670. Adding anthropometry raised gradient boosting AUC to 0.998 and accuracy to 97.8%, an absolute AUC gain of 0.328 (95% CI 0.320–0.337); height, age, and sex alone reproduced this performance. Permutation importance attributed almost all predictive signal to height and age. Near-perfect stunting classifiers therefore reconstruct the label rather than predict risk. Determinant-only models provide a realistic baseline for future studies.</w:t>
            </w:r>
          </w:p>
        </w:tc>
      </w:tr>
      <w:tr w:rsidR="00941203" w:rsidRPr="00843E6B" w14:paraId="5AB61300" w14:textId="77777777" w:rsidTr="00E77E1F">
        <w:trPr>
          <w:trHeight w:val="1231"/>
          <w:jc w:val="center"/>
        </w:trPr>
        <w:tc>
          <w:tcPr>
            <w:tcW w:w="2802" w:type="dxa"/>
            <w:vMerge w:val="restart"/>
            <w:tcBorders>
              <w:top w:val="single" w:sz="4" w:space="0" w:color="auto"/>
              <w:left w:val="nil"/>
              <w:bottom w:val="single" w:sz="4" w:space="0" w:color="auto"/>
              <w:right w:val="nil"/>
            </w:tcBorders>
          </w:tcPr>
          <w:p>
            <w:pPr>
              <w:spacing w:before="120" w:after="120"/>
              <w:jc w:val="both"/>
            </w:pPr>
            <w:r>
              <w:rPr>
                <w:b/>
                <w:bCs/>
                <w:i/>
                <w:iCs/>
              </w:rPr>
              <w:t xml:space="preserve">Keywords:</w:t>
            </w:r>
          </w:p>
          <w:p>
            <w:pPr>
              <w:jc w:val="both"/>
            </w:pPr>
            <w:r>
              <w:t xml:space="preserve">Data leakage</w:t>
            </w:r>
          </w:p>
          <w:p>
            <w:pPr>
              <w:jc w:val="both"/>
            </w:pPr>
            <w:r>
              <w:t xml:space="preserve">Indonesian Health Survey</w:t>
            </w:r>
          </w:p>
          <w:p>
            <w:pPr>
              <w:jc w:val="both"/>
            </w:pPr>
            <w:r>
              <w:t xml:space="preserve">Machine learning</w:t>
            </w:r>
          </w:p>
          <w:p>
            <w:pPr>
              <w:jc w:val="both"/>
            </w:pPr>
            <w:r>
              <w:t xml:space="preserve">Model evaluation</w:t>
            </w:r>
          </w:p>
          <w:p>
            <w:pPr>
              <w:jc w:val="both"/>
            </w:pPr>
            <w:r>
              <w:t xml:space="preserve">Reproducibility</w:t>
            </w:r>
          </w:p>
          <w:p>
            <w:pPr>
              <w:jc w:val="both"/>
            </w:pPr>
            <w:r>
              <w:t xml:space="preserve">Stunting</w:t>
            </w:r>
          </w:p>
          <w:p>
            <w:pPr>
              <w:jc w:val="both"/>
            </w:pPr>
            <w:r>
              <w:t xml:space="preserve">Target leakage</w:t>
            </w:r>
          </w:p>
        </w:tc>
        <w:tc>
          <w:tcPr>
            <w:tcW w:w="283" w:type="dxa"/>
            <w:vMerge/>
            <w:tcBorders>
              <w:top w:val="nil"/>
              <w:left w:val="nil"/>
              <w:bottom w:val="nil"/>
              <w:right w:val="nil"/>
            </w:tcBorders>
          </w:tcPr>
          <w:p w14:paraId="26D1DFBC" w14:textId="77777777" w:rsidR="00941203" w:rsidRPr="00843E6B" w:rsidRDefault="00941203" w:rsidP="00957C11">
            <w:pPr>
              <w:spacing w:before="120"/>
              <w:jc w:val="both"/>
            </w:pPr>
          </w:p>
        </w:tc>
        <w:tc>
          <w:tcPr>
            <w:tcW w:w="5812" w:type="dxa"/>
            <w:vMerge/>
            <w:tcBorders>
              <w:top w:val="nil"/>
              <w:left w:val="nil"/>
              <w:bottom w:val="nil"/>
              <w:right w:val="nil"/>
            </w:tcBorders>
          </w:tcPr>
          <w:p w14:paraId="5C80F7FA" w14:textId="77777777" w:rsidR="00941203" w:rsidRPr="00843E6B" w:rsidRDefault="00941203" w:rsidP="00957C11">
            <w:pPr>
              <w:spacing w:before="120"/>
              <w:jc w:val="both"/>
              <w:rPr>
                <w:iCs/>
                <w:color w:val="000000"/>
                <w:sz w:val="18"/>
                <w:szCs w:val="18"/>
              </w:rPr>
            </w:pPr>
          </w:p>
        </w:tc>
      </w:tr>
      <w:tr w:rsidR="00941203" w:rsidRPr="00843E6B" w14:paraId="1578794C" w14:textId="77777777" w:rsidTr="00E77E1F">
        <w:trPr>
          <w:trHeight w:val="70"/>
          <w:jc w:val="center"/>
        </w:trPr>
        <w:tc>
          <w:tcPr>
            <w:tcW w:w="2802" w:type="dxa"/>
            <w:vMerge/>
            <w:tcBorders>
              <w:top w:val="single" w:sz="4" w:space="0" w:color="auto"/>
              <w:left w:val="nil"/>
              <w:bottom w:val="single" w:sz="4" w:space="0" w:color="auto"/>
              <w:right w:val="nil"/>
            </w:tcBorders>
          </w:tcPr>
          <w:p w14:paraId="1603D765" w14:textId="77777777" w:rsidR="00941203" w:rsidRPr="00843E6B" w:rsidRDefault="00941203" w:rsidP="00941203">
            <w:pPr>
              <w:spacing w:before="120" w:after="120"/>
              <w:jc w:val="both"/>
              <w:rPr>
                <w:b/>
                <w:i/>
              </w:rPr>
            </w:pPr>
          </w:p>
        </w:tc>
        <w:tc>
          <w:tcPr>
            <w:tcW w:w="283" w:type="dxa"/>
            <w:vMerge/>
            <w:tcBorders>
              <w:top w:val="nil"/>
              <w:left w:val="nil"/>
              <w:bottom w:val="nil"/>
              <w:right w:val="nil"/>
            </w:tcBorders>
          </w:tcPr>
          <w:p w14:paraId="2C6B02DA" w14:textId="77777777" w:rsidR="00941203" w:rsidRPr="00843E6B" w:rsidRDefault="00941203" w:rsidP="00957C11">
            <w:pPr>
              <w:spacing w:before="120"/>
              <w:jc w:val="both"/>
            </w:pPr>
          </w:p>
        </w:tc>
        <w:tc>
          <w:tcPr>
            <w:tcW w:w="5812" w:type="dxa"/>
            <w:tcBorders>
              <w:top w:val="nil"/>
              <w:left w:val="nil"/>
              <w:bottom w:val="single" w:sz="4" w:space="0" w:color="auto"/>
              <w:right w:val="nil"/>
            </w:tcBorders>
          </w:tcPr>
          <w:p w14:paraId="205931C6" w14:textId="77777777" w:rsidR="001414E2" w:rsidRPr="00843E6B" w:rsidRDefault="001414E2" w:rsidP="001414E2">
            <w:pPr>
              <w:spacing w:before="120" w:after="120"/>
              <w:jc w:val="right"/>
              <w:rPr>
                <w:i/>
                <w:iCs/>
                <w:color w:val="000000"/>
                <w:sz w:val="18"/>
                <w:szCs w:val="18"/>
              </w:rPr>
            </w:pPr>
            <w:r w:rsidRPr="00843E6B">
              <w:rPr>
                <w:i/>
                <w:iCs/>
                <w:color w:val="000000"/>
                <w:sz w:val="18"/>
                <w:szCs w:val="18"/>
              </w:rPr>
              <w:t xml:space="preserve">This is an open access article under the </w:t>
            </w:r>
            <w:hyperlink r:id="rId8" w:history="1">
              <w:r w:rsidRPr="00843E6B">
                <w:rPr>
                  <w:rStyle w:val="Hyperlink"/>
                  <w:i/>
                  <w:iCs/>
                  <w:sz w:val="18"/>
                  <w:szCs w:val="18"/>
                </w:rPr>
                <w:t>CC BY-SA</w:t>
              </w:r>
            </w:hyperlink>
            <w:r w:rsidRPr="00843E6B">
              <w:rPr>
                <w:i/>
                <w:iCs/>
                <w:color w:val="000000"/>
                <w:sz w:val="18"/>
                <w:szCs w:val="18"/>
              </w:rPr>
              <w:t xml:space="preserve"> license.</w:t>
            </w:r>
          </w:p>
          <w:p w14:paraId="18D744D6" w14:textId="77777777" w:rsidR="00941203" w:rsidRPr="00843E6B" w:rsidRDefault="001414E2" w:rsidP="001414E2">
            <w:pPr>
              <w:spacing w:before="120" w:after="120"/>
              <w:jc w:val="right"/>
              <w:rPr>
                <w:i/>
                <w:iCs/>
                <w:color w:val="000000"/>
                <w:sz w:val="18"/>
                <w:szCs w:val="18"/>
              </w:rPr>
            </w:pPr>
            <w:r w:rsidRPr="00843E6B">
              <w:rPr>
                <w:noProof/>
              </w:rPr>
              <w:drawing>
                <wp:inline distT="0" distB="0" distL="0" distR="0" wp14:anchorId="6791ACE3" wp14:editId="5AA265B1">
                  <wp:extent cx="1057275" cy="3714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57275" cy="371475"/>
                          </a:xfrm>
                          <a:prstGeom prst="rect">
                            <a:avLst/>
                          </a:prstGeom>
                          <a:noFill/>
                          <a:ln>
                            <a:noFill/>
                          </a:ln>
                        </pic:spPr>
                      </pic:pic>
                    </a:graphicData>
                  </a:graphic>
                </wp:inline>
              </w:drawing>
            </w:r>
          </w:p>
        </w:tc>
      </w:tr>
      <w:tr w:rsidR="007F286F" w:rsidRPr="00843E6B" w14:paraId="294A13ED" w14:textId="77777777" w:rsidTr="00E77E1F">
        <w:trPr>
          <w:jc w:val="center"/>
        </w:trPr>
        <w:tc>
          <w:tcPr>
            <w:tcW w:w="8897" w:type="dxa"/>
            <w:gridSpan w:val="3"/>
            <w:tcBorders>
              <w:top w:val="nil"/>
              <w:left w:val="nil"/>
              <w:bottom w:val="double" w:sz="4" w:space="0" w:color="auto"/>
              <w:right w:val="nil"/>
            </w:tcBorders>
          </w:tcPr>
          <w:p>
            <w:pPr>
              <w:spacing w:before="120" w:after="120"/>
            </w:pPr>
            <w:r>
              <w:rPr>
                <w:b/>
                <w:bCs/>
                <w:i/>
                <w:iCs/>
              </w:rPr>
              <w:t xml:space="preserve">Corresponding Author:</w:t>
            </w:r>
          </w:p>
          <w:p>
            <w:r>
              <w:t xml:space="preserve">Ahmad Dedi Jubaedi</w:t>
            </w:r>
          </w:p>
          <w:p>
            <w:r>
              <w:t xml:space="preserve">Faculty of Computer Science, Universitas Serang Raya</w:t>
            </w:r>
          </w:p>
          <w:p>
            <w:r>
              <w:t xml:space="preserve">Serang, Banten, Indonesia</w:t>
            </w:r>
          </w:p>
          <w:p>
            <w:pPr>
              <w:spacing w:after="120"/>
            </w:pPr>
            <w:r>
              <w:t xml:space="preserve">Email: dedi@unsera.ac.id</w:t>
            </w:r>
          </w:p>
        </w:tc>
      </w:tr>
    </w:tbl>
    <w:p/>
    <w:p>
      <w:pPr>
        <w:keepNext/>
        <w:numPr>
          <w:ilvl w:val="0"/>
          <w:numId w:val="15"/>
        </w:numPr>
        <w:tabs>
          <w:tab w:val="left" w:pos="426"/>
        </w:tabs>
        <w:spacing w:before="240" w:after="120"/>
        <w:ind w:left="426" w:hanging="426"/>
      </w:pPr>
      <w:r>
        <w:rPr>
          <w:b/>
          <w:bCs/>
        </w:rPr>
        <w:t xml:space="preserve">INTRODUCTION</w:t>
      </w:r>
    </w:p>
    <w:p>
      <w:pPr>
        <w:ind w:firstLine="720"/>
        <w:jc w:val="both"/>
      </w:pPr>
      <w:r>
        <w:t xml:space="preserve">Stunting, defined as a length- or height-for-age z-score (HAZ) below −2 standard deviations of the World Health Organization (WHO) Child Growth Standards, remains the most prevalent form of child undernutrition in low- and middle-income countries and is associated with impaired cognitive development and lower adult productivity [1]. In Indonesia, stunting is shaped by factors operating at the child, household, and community levels, including maternal education, birth weight, sanitation, and region of residence [2]. Because these determinants interact in complex, non-linear ways, machine learning (ML) has been increasingly promoted as a tool to identify children at risk and to rank modifiable risk factors [3]–[6].</w:t>
      </w:r>
    </w:p>
    <w:p>
      <w:pPr>
        <w:ind w:firstLine="720"/>
        <w:jc w:val="both"/>
      </w:pPr>
      <w:r>
        <w:t xml:space="preserve">A rapidly growing body of work applies random forests, gradient boosting, support vector machines, and neural networks to Demographic and Health Surveys and national nutrition surveys [7]–[11]. Several recent studies report accuracies above 90% and AUC values close to 1. In Ghana, stunting accuracy ranged from 86% to 98% with child weight, length/height, and age among the most important predictors [12]. In Ethiopia, a random forest reached 97.99% accuracy and an AUC of 0.99995, with child height and weight ranked immediately after age [13]; another study identified height as the most influential feature [14]. In Egypt, accuracies above 90% and AUC above 0.96 were reported with height and weight as inputs [15], [16].</w:t>
      </w:r>
    </w:p>
    <w:p>
      <w:pPr>
        <w:ind w:firstLine="720"/>
        <w:jc w:val="both"/>
      </w:pPr>
      <w:r>
        <w:t xml:space="preserve">These results share a methodological problem. HAZ is a deterministic function of measured length or height, age, and sex. When current height is supplied as a predictor together with age and sex, the classifier does not need to learn any risk mechanism: it only has to re-learn the WHO reference curve. This is a textbook case of target (feature-to-target) leakage, in which information that encodes the outcome is available during training but would not be available, or would make prediction unnecessary, at deployment [17], [18]. Leakage has been identified as a leading cause of the reproducibility crisis in ML-based science across many fields [19], [20], has been shown to drastically inflate performance in neuroimaging [21], and has already contaminated meta-analytic estimates of predictive accuracy [22]. Current reporting guidance, including TRIPOD+AI and REFORMS, explicitly asks authors to justify that predictors are available at the time of prediction and are not proxies of the outcome [23], [24].</w:t>
      </w:r>
    </w:p>
    <w:p>
      <w:pPr>
        <w:ind w:firstLine="720"/>
        <w:jc w:val="both"/>
      </w:pPr>
      <w:r>
        <w:t xml:space="preserve">Although the logic of anthropometric leakage is simple, its magnitude has not been quantified on a large, nationally representative dataset under a controlled design, and there is no leakage-free performance baseline for stunting prediction in Indonesia. A second, subtler issue is that survey data are clustered: siblings share households, and a random row-level split lets information about the same household appear in both training and test sets [25], [26].</w:t>
      </w:r>
    </w:p>
    <w:p>
      <w:pPr>
        <w:ind w:firstLine="720"/>
        <w:jc w:val="both"/>
      </w:pPr>
      <w:r>
        <w:t xml:space="preserve">This study addresses these gaps with three contributions. First, it provides a controlled experiment on 84,205 children from the 2023 Indonesian Health Survey (</w:t>
      </w:r>
      <w:r>
        <w:rPr>
          <w:i/>
          <w:iCs/>
        </w:rPr>
        <w:t xml:space="preserve">Survei Kesehatan Indonesia</w:t>
      </w:r>
      <w:r>
        <w:t xml:space="preserve">, SKI 2023) that isolates the effect of anthropometric leakage by holding the models, data split, and pre-processing constant and varying only the feature set. Second, it reports a leakage-free baseline built solely from upstream determinants and evaluated on unseen households. Third, it identifies less obvious outcome-derived variables in the survey that should be excluded, and it translates the findings into practical recommendations for reviewers and authors.</w:t>
      </w:r>
    </w:p>
    <w:p>
      <w:pPr>
        <w:keepNext/>
        <w:numPr>
          <w:ilvl w:val="0"/>
          <w:numId w:val="15"/>
        </w:numPr>
        <w:tabs>
          <w:tab w:val="left" w:pos="426"/>
        </w:tabs>
        <w:spacing w:before="240" w:after="120"/>
        <w:ind w:left="426" w:hanging="426"/>
      </w:pPr>
      <w:r>
        <w:rPr>
          <w:b/>
          <w:bCs/>
        </w:rPr>
        <w:t xml:space="preserve">METHOD</w:t>
      </w:r>
    </w:p>
    <w:p>
      <w:pPr>
        <w:ind w:firstLine="720"/>
        <w:jc w:val="both"/>
      </w:pPr>
      <w:r>
        <w:t xml:space="preserve">The research design is a controlled comparative experiment summarized in Figure 1. All steps were implemented in Python (scikit-learn 1.8) as a single script with a fixed random seed (42), and every number reported in this paper is produced by that script. The four feature scenarios were trained and evaluated under identical splits, models, and pre-processing so that differences in performance can be attributed to the feature set alone.</w:t>
      </w:r>
    </w:p>
    <w:p>
      <w:pPr>
        <w:keepNext/>
        <w:spacing w:before="120"/>
        <w:jc w:val="center"/>
      </w:pPr>
      <w:r>
        <w:drawing>
          <wp:inline distT="0" distB="0" distL="0" distR="0">
            <wp:extent cx="5220000" cy="3208510"/>
            <wp:docPr id="201" name="Fig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_method_flow.png"/>
                    <pic:cNvPicPr/>
                  </pic:nvPicPr>
                  <pic:blipFill>
                    <a:blip r:embed="rId201"/>
                    <a:stretch>
                      <a:fillRect/>
                    </a:stretch>
                  </pic:blipFill>
                  <pic:spPr>
                    <a:xfrm>
                      <a:off x="0" y="0"/>
                      <a:ext cx="5220000" cy="3208510"/>
                    </a:xfrm>
                    <a:prstGeom prst="rect">
                      <a:avLst/>
                    </a:prstGeom>
                  </pic:spPr>
                </pic:pic>
              </a:graphicData>
            </a:graphic>
          </wp:inline>
        </w:drawing>
      </w:r>
    </w:p>
    <w:p>
      <w:pPr>
        <w:spacing w:before="60" w:after="120"/>
        <w:jc w:val="center"/>
      </w:pPr>
      <w:r>
        <w:t xml:space="preserve">Figure 1. Research design of the leakage experiment</w:t>
      </w:r>
    </w:p>
    <w:p>
      <w:pPr>
        <w:keepNext/>
        <w:spacing w:before="180" w:after="60"/>
      </w:pPr>
      <w:r>
        <w:rPr>
          <w:b/>
          <w:bCs/>
        </w:rPr>
        <w:t xml:space="preserve">2.1. Data source and outcome definition</w:t>
      </w:r>
    </w:p>
    <w:p>
      <w:pPr>
        <w:ind w:firstLine="720"/>
        <w:jc w:val="both"/>
      </w:pPr>
      <w:r>
        <w:t xml:space="preserve">We used the child (0–59 months) module of SKI 2023, a nationally representative household survey conducted by the Indonesian Ministry of Health, which contains 86,364 child records and 171 variables covering the child, the mother, and the household. Age in days was computed from the dates of birth and interview. Recumbent length and standing height were harmonized following the WHO convention (+0.7 cm for children under 731 days measured standing and −0.7 cm for children aged 731 days or more measured recumbent). HAZ was computed from the WHO Child Growth Standards with the LMS method in (1):</w:t>
      </w:r>
    </w:p>
    <w:p>
      <w:pPr>
        <w:tabs>
          <w:tab w:val="center" w:pos="4394"/>
          <w:tab w:val="right" w:pos="8789"/>
        </w:tabs>
        <w:spacing w:before="120" w:after="120"/>
      </w:pPr>
      <w:r>
        <w:tab/>
      </w:r>
      <m:oMath>
        <m:r>
          <m:t xml:space="preserve">HAZ</m:t>
        </m:r>
        <m:r>
          <m:rPr>
            <m:sty m:val="p"/>
          </m:rPr>
          <m:t xml:space="preserve">=</m:t>
        </m:r>
        <m:f>
          <m:num>
            <m:sSup>
              <m:e>
                <m:d>
                  <m:e>
                    <m:f>
                      <m:num>
                        <m:r>
                          <m:t xml:space="preserve">y</m:t>
                        </m:r>
                      </m:num>
                      <m:den>
                        <m:r>
                          <m:t xml:space="preserve">M(t)</m:t>
                        </m:r>
                      </m:den>
                    </m:f>
                  </m:e>
                </m:d>
              </m:e>
              <m:sup>
                <m:r>
                  <m:t xml:space="preserve">L(t)</m:t>
                </m:r>
              </m:sup>
            </m:sSup>
            <m:r>
              <m:rPr>
                <m:sty m:val="p"/>
              </m:rPr>
              <m:t xml:space="preserve">−1</m:t>
            </m:r>
          </m:num>
          <m:den>
            <m:r>
              <m:t xml:space="preserve">L(t)</m:t>
            </m:r>
            <m:r>
              <m:rPr>
                <m:sty m:val="p"/>
              </m:rPr>
              <m:t xml:space="preserve">·</m:t>
            </m:r>
            <m:r>
              <m:t xml:space="preserve">S(t)</m:t>
            </m:r>
          </m:den>
        </m:f>
      </m:oMath>
      <w:r>
        <w:tab/>
        <w:t>(1)</w:t>
      </w:r>
    </w:p>
    <w:p>
      <w:pPr>
        <w:ind w:firstLine="720"/>
        <w:jc w:val="both"/>
      </w:pPr>
      <w:r>
        <w:t xml:space="preserve">where y is the harmonized length or height and L(t), M(t), and S(t) are the sex- and age-specific Box-Cox power, median, and coefficient of variation of the WHO reference at age t in days; for length/height-for-age L(t) = 1. Children with missing height or measurement position, with ages beyond the 1,826 days covered by the WHO reference table, or with biologically implausible values (|HAZ| &gt; 6), were excluded, leaving 84,205 children. Stunting was coded as 1 when HAZ &lt; −2 and 0 otherwise, giving 19,825 stunted children (unweighted prevalence 23.5%; prevalence weighted by the survey individual weights 22.0%).</w:t>
      </w:r>
    </w:p>
    <w:p>
      <w:pPr>
        <w:keepNext/>
        <w:spacing w:before="180" w:after="60"/>
      </w:pPr>
      <w:r>
        <w:rPr>
          <w:b/>
          <w:bCs/>
        </w:rPr>
        <w:t xml:space="preserve">2.2. Feature scenarios</w:t>
      </w:r>
    </w:p>
    <w:p>
      <w:pPr>
        <w:ind w:firstLine="720"/>
        <w:jc w:val="both"/>
      </w:pPr>
      <w:r>
        <w:t xml:space="preserve">Table 1 defines the four feature sets. Scenario B contains 119 upstream determinants grouped into child characteristics (age, sex, relationship to household head), maternal factors (education, occupation, age at first pregnancy, smoking and hygiene behavior, awareness of stunting), perinatal and health-service factors (antenatal care, place and mode of delivery, gestational age, birth weight and birth length recorded in the maternal and child health book, neonatal services, immunization, congenital anomalies), infant feeding (current breastfeeding and 24-hour food and liquid recall), water, sanitation and hygiene, housing materials and floor area, household size, health insurance, access to primary care, province, and urban–rural residence. Birth weight and birth length are measured at birth, before the outcome, and are legitimate predictors. Scenario A1 adds current weight, which does not enter the HAZ formula but is strongly correlated with height (indirect or proxy leakage). Scenario A2 adds all current anthropometry—weight, length/height, mid-upper arm circumference (MUAC), and waist circumference—and mimics the feature sets used in the studies discussed above. Scenario L0 uses only height, age, and sex, i.e., exactly the inputs of the HAZ formula, and serves as an upper bound of pure leakage.</w:t>
      </w:r>
    </w:p>
    <w:p>
      <w:pPr>
        <w:keepNext/>
        <w:spacing w:before="120" w:after="60"/>
        <w:jc w:val="center"/>
      </w:pPr>
      <w:r>
        <w:t xml:space="preserve">Table 1. Feature scenarios compared in the experiment</w:t>
      </w:r>
    </w:p>
    <w:tbl>
      <w:tblPr>
        <w:tblW w:w="8221" w:type="dxa"/>
        <w:jc w:val="center"/>
        <w:tblLayout w:type="fixed"/>
        <w:tblCellMar>
          <w:left w:w="57" w:type="dxa"/>
          <w:right w:w="57" w:type="dxa"/>
        </w:tblCellMar>
      </w:tblPr>
      <w:tblGrid>
        <w:gridCol w:w="1701"/>
        <w:gridCol w:w="3175"/>
        <w:gridCol w:w="907"/>
        <w:gridCol w:w="2438"/>
      </w:tblGrid>
      <w:tr>
        <w:trPr>
          <w:cantSplit/>
        </w:trPr>
        <w:tc>
          <w:tcPr>
            <w:tcW w:w="1701" w:type="dxa"/>
            <w:tcBorders>
              <w:top w:val="single" w:sz="8" w:space="0" w:color="000000"/>
              <w:left w:val="nil"/>
              <w:bottom w:val="single" w:sz="4" w:space="0" w:color="000000"/>
              <w:right w:val="nil"/>
            </w:tcBorders>
            <w:vAlign w:val="center"/>
          </w:tcPr>
          <w:p>
            <w:pPr>
              <w:keepNext/>
              <w:spacing w:before="20" w:after="20"/>
              <w:jc w:val="left"/>
            </w:pPr>
            <w:r>
              <w:rPr>
                <w:b/>
                <w:bCs/>
                <w:sz w:val="16"/>
                <w:szCs w:val="16"/>
              </w:rPr>
              <w:t xml:space="preserve">Scenario</w:t>
            </w:r>
          </w:p>
        </w:tc>
        <w:tc>
          <w:tcPr>
            <w:tcW w:w="3175" w:type="dxa"/>
            <w:tcBorders>
              <w:top w:val="single" w:sz="8" w:space="0" w:color="000000"/>
              <w:left w:val="nil"/>
              <w:bottom w:val="single" w:sz="4" w:space="0" w:color="000000"/>
              <w:right w:val="nil"/>
            </w:tcBorders>
            <w:vAlign w:val="center"/>
          </w:tcPr>
          <w:p>
            <w:pPr>
              <w:keepNext/>
              <w:spacing w:before="20" w:after="20"/>
              <w:jc w:val="center"/>
            </w:pPr>
            <w:r>
              <w:rPr>
                <w:b/>
                <w:bCs/>
                <w:sz w:val="16"/>
                <w:szCs w:val="16"/>
              </w:rPr>
              <w:t xml:space="preserve">Predictors</w:t>
            </w:r>
          </w:p>
        </w:tc>
        <w:tc>
          <w:tcPr>
            <w:tcW w:w="907" w:type="dxa"/>
            <w:tcBorders>
              <w:top w:val="single" w:sz="8" w:space="0" w:color="000000"/>
              <w:left w:val="nil"/>
              <w:bottom w:val="single" w:sz="4" w:space="0" w:color="000000"/>
              <w:right w:val="nil"/>
            </w:tcBorders>
            <w:vAlign w:val="center"/>
          </w:tcPr>
          <w:p>
            <w:pPr>
              <w:keepNext/>
              <w:spacing w:before="20" w:after="20"/>
              <w:jc w:val="center"/>
            </w:pPr>
            <w:r>
              <w:rPr>
                <w:b/>
                <w:bCs/>
                <w:sz w:val="16"/>
                <w:szCs w:val="16"/>
              </w:rPr>
              <w:t xml:space="preserve">Raw variables</w:t>
            </w:r>
          </w:p>
        </w:tc>
        <w:tc>
          <w:tcPr>
            <w:tcW w:w="2438" w:type="dxa"/>
            <w:tcBorders>
              <w:top w:val="single" w:sz="8" w:space="0" w:color="000000"/>
              <w:left w:val="nil"/>
              <w:bottom w:val="single" w:sz="4" w:space="0" w:color="000000"/>
              <w:right w:val="nil"/>
            </w:tcBorders>
            <w:vAlign w:val="center"/>
          </w:tcPr>
          <w:p>
            <w:pPr>
              <w:keepNext/>
              <w:spacing w:before="20" w:after="20"/>
              <w:jc w:val="center"/>
            </w:pPr>
            <w:r>
              <w:rPr>
                <w:b/>
                <w:bCs/>
                <w:sz w:val="16"/>
                <w:szCs w:val="16"/>
              </w:rPr>
              <w:t xml:space="preserve">Role</w:t>
            </w:r>
          </w:p>
        </w:tc>
      </w:tr>
      <w:tr>
        <w:trPr>
          <w:cantSplit/>
        </w:trPr>
        <w:tc>
          <w:tcPr>
            <w:tcW w:w="1701" w:type="dxa"/>
            <w:tcBorders>
              <w:left w:val="nil"/>
              <w:right w:val="nil"/>
            </w:tcBorders>
            <w:vAlign w:val="center"/>
          </w:tcPr>
          <w:p>
            <w:pPr>
              <w:keepNext/>
              <w:spacing w:before="20" w:after="20"/>
              <w:jc w:val="left"/>
            </w:pPr>
            <w:r>
              <w:rPr>
                <w:sz w:val="16"/>
                <w:szCs w:val="16"/>
              </w:rPr>
              <w:t xml:space="preserve">B</w:t>
            </w:r>
          </w:p>
        </w:tc>
        <w:tc>
          <w:tcPr>
            <w:tcW w:w="3175" w:type="dxa"/>
            <w:tcBorders>
              <w:left w:val="nil"/>
              <w:right w:val="nil"/>
            </w:tcBorders>
            <w:vAlign w:val="center"/>
          </w:tcPr>
          <w:p>
            <w:pPr>
              <w:keepNext/>
              <w:spacing w:before="20" w:after="20"/>
              <w:jc w:val="center"/>
            </w:pPr>
            <w:r>
              <w:rPr>
                <w:sz w:val="16"/>
                <w:szCs w:val="16"/>
              </w:rPr>
              <w:t xml:space="preserve">Upstream determinants: child, maternal, perinatal, feeding, WASH, housing, access, region</w:t>
            </w:r>
          </w:p>
        </w:tc>
        <w:tc>
          <w:tcPr>
            <w:tcW w:w="907" w:type="dxa"/>
            <w:tcBorders>
              <w:left w:val="nil"/>
              <w:right w:val="nil"/>
            </w:tcBorders>
            <w:vAlign w:val="center"/>
          </w:tcPr>
          <w:p>
            <w:pPr>
              <w:keepNext/>
              <w:spacing w:before="20" w:after="20"/>
              <w:jc w:val="center"/>
            </w:pPr>
            <w:r>
              <w:rPr>
                <w:sz w:val="16"/>
                <w:szCs w:val="16"/>
              </w:rPr>
              <w:t xml:space="preserve">119</w:t>
            </w:r>
          </w:p>
        </w:tc>
        <w:tc>
          <w:tcPr>
            <w:tcW w:w="2438" w:type="dxa"/>
            <w:tcBorders>
              <w:left w:val="nil"/>
              <w:right w:val="nil"/>
            </w:tcBorders>
            <w:vAlign w:val="center"/>
          </w:tcPr>
          <w:p>
            <w:pPr>
              <w:keepNext/>
              <w:spacing w:before="20" w:after="20"/>
              <w:jc w:val="center"/>
            </w:pPr>
            <w:r>
              <w:rPr>
                <w:sz w:val="16"/>
                <w:szCs w:val="16"/>
              </w:rPr>
              <w:t xml:space="preserve">Leakage-free baseline</w:t>
            </w:r>
          </w:p>
        </w:tc>
      </w:tr>
      <w:tr>
        <w:trPr>
          <w:cantSplit/>
        </w:trPr>
        <w:tc>
          <w:tcPr>
            <w:tcW w:w="1701" w:type="dxa"/>
            <w:tcBorders>
              <w:left w:val="nil"/>
              <w:right w:val="nil"/>
            </w:tcBorders>
            <w:vAlign w:val="center"/>
          </w:tcPr>
          <w:p>
            <w:pPr>
              <w:keepNext/>
              <w:spacing w:before="20" w:after="20"/>
              <w:jc w:val="left"/>
            </w:pPr>
            <w:r>
              <w:rPr>
                <w:sz w:val="16"/>
                <w:szCs w:val="16"/>
              </w:rPr>
              <w:t xml:space="preserve">A1</w:t>
            </w:r>
          </w:p>
        </w:tc>
        <w:tc>
          <w:tcPr>
            <w:tcW w:w="3175" w:type="dxa"/>
            <w:tcBorders>
              <w:left w:val="nil"/>
              <w:right w:val="nil"/>
            </w:tcBorders>
            <w:vAlign w:val="center"/>
          </w:tcPr>
          <w:p>
            <w:pPr>
              <w:keepNext/>
              <w:spacing w:before="20" w:after="20"/>
              <w:jc w:val="center"/>
            </w:pPr>
            <w:r>
              <w:rPr>
                <w:sz w:val="16"/>
                <w:szCs w:val="16"/>
              </w:rPr>
              <w:t xml:space="preserve">B + current weight</w:t>
            </w:r>
          </w:p>
        </w:tc>
        <w:tc>
          <w:tcPr>
            <w:tcW w:w="907" w:type="dxa"/>
            <w:tcBorders>
              <w:left w:val="nil"/>
              <w:right w:val="nil"/>
            </w:tcBorders>
            <w:vAlign w:val="center"/>
          </w:tcPr>
          <w:p>
            <w:pPr>
              <w:keepNext/>
              <w:spacing w:before="20" w:after="20"/>
              <w:jc w:val="center"/>
            </w:pPr>
            <w:r>
              <w:rPr>
                <w:sz w:val="16"/>
                <w:szCs w:val="16"/>
              </w:rPr>
              <w:t xml:space="preserve">120</w:t>
            </w:r>
          </w:p>
        </w:tc>
        <w:tc>
          <w:tcPr>
            <w:tcW w:w="2438" w:type="dxa"/>
            <w:tcBorders>
              <w:left w:val="nil"/>
              <w:right w:val="nil"/>
            </w:tcBorders>
            <w:vAlign w:val="center"/>
          </w:tcPr>
          <w:p>
            <w:pPr>
              <w:keepNext/>
              <w:spacing w:before="20" w:after="20"/>
              <w:jc w:val="center"/>
            </w:pPr>
            <w:r>
              <w:rPr>
                <w:sz w:val="16"/>
                <w:szCs w:val="16"/>
              </w:rPr>
              <w:t xml:space="preserve">Proxy (indirect) leakage</w:t>
            </w:r>
          </w:p>
        </w:tc>
      </w:tr>
      <w:tr>
        <w:trPr>
          <w:cantSplit/>
        </w:trPr>
        <w:tc>
          <w:tcPr>
            <w:tcW w:w="1701" w:type="dxa"/>
            <w:tcBorders>
              <w:left w:val="nil"/>
              <w:right w:val="nil"/>
            </w:tcBorders>
            <w:vAlign w:val="center"/>
          </w:tcPr>
          <w:p>
            <w:pPr>
              <w:keepNext/>
              <w:spacing w:before="20" w:after="20"/>
              <w:jc w:val="left"/>
            </w:pPr>
            <w:r>
              <w:rPr>
                <w:sz w:val="16"/>
                <w:szCs w:val="16"/>
              </w:rPr>
              <w:t xml:space="preserve">A2</w:t>
            </w:r>
          </w:p>
        </w:tc>
        <w:tc>
          <w:tcPr>
            <w:tcW w:w="3175" w:type="dxa"/>
            <w:tcBorders>
              <w:left w:val="nil"/>
              <w:right w:val="nil"/>
            </w:tcBorders>
            <w:vAlign w:val="center"/>
          </w:tcPr>
          <w:p>
            <w:pPr>
              <w:keepNext/>
              <w:spacing w:before="20" w:after="20"/>
              <w:jc w:val="center"/>
            </w:pPr>
            <w:r>
              <w:rPr>
                <w:sz w:val="16"/>
                <w:szCs w:val="16"/>
              </w:rPr>
              <w:t xml:space="preserve">B + current weight, length/height, MUAC, waist circumference</w:t>
            </w:r>
          </w:p>
        </w:tc>
        <w:tc>
          <w:tcPr>
            <w:tcW w:w="907" w:type="dxa"/>
            <w:tcBorders>
              <w:left w:val="nil"/>
              <w:right w:val="nil"/>
            </w:tcBorders>
            <w:vAlign w:val="center"/>
          </w:tcPr>
          <w:p>
            <w:pPr>
              <w:keepNext/>
              <w:spacing w:before="20" w:after="20"/>
              <w:jc w:val="center"/>
            </w:pPr>
            <w:r>
              <w:rPr>
                <w:sz w:val="16"/>
                <w:szCs w:val="16"/>
              </w:rPr>
              <w:t xml:space="preserve">123</w:t>
            </w:r>
          </w:p>
        </w:tc>
        <w:tc>
          <w:tcPr>
            <w:tcW w:w="2438" w:type="dxa"/>
            <w:tcBorders>
              <w:left w:val="nil"/>
              <w:right w:val="nil"/>
            </w:tcBorders>
            <w:vAlign w:val="center"/>
          </w:tcPr>
          <w:p>
            <w:pPr>
              <w:keepNext/>
              <w:spacing w:before="20" w:after="20"/>
              <w:jc w:val="center"/>
            </w:pPr>
            <w:r>
              <w:rPr>
                <w:sz w:val="16"/>
                <w:szCs w:val="16"/>
              </w:rPr>
              <w:t xml:space="preserve">Mimics prior studies</w:t>
            </w:r>
          </w:p>
        </w:tc>
      </w:tr>
      <w:tr>
        <w:trPr>
          <w:cantSplit/>
        </w:trPr>
        <w:tc>
          <w:tcPr>
            <w:tcW w:w="1701" w:type="dxa"/>
            <w:tcBorders>
              <w:left w:val="nil"/>
              <w:bottom w:val="single" w:sz="8" w:space="0" w:color="000000"/>
              <w:right w:val="nil"/>
            </w:tcBorders>
            <w:vAlign w:val="center"/>
          </w:tcPr>
          <w:p>
            <w:pPr>
              <w:spacing w:before="20" w:after="20"/>
              <w:jc w:val="left"/>
            </w:pPr>
            <w:r>
              <w:rPr>
                <w:sz w:val="16"/>
                <w:szCs w:val="16"/>
              </w:rPr>
              <w:t xml:space="preserve">L0</w:t>
            </w:r>
          </w:p>
        </w:tc>
        <w:tc>
          <w:tcPr>
            <w:tcW w:w="3175" w:type="dxa"/>
            <w:tcBorders>
              <w:left w:val="nil"/>
              <w:bottom w:val="single" w:sz="8" w:space="0" w:color="000000"/>
              <w:right w:val="nil"/>
            </w:tcBorders>
            <w:vAlign w:val="center"/>
          </w:tcPr>
          <w:p>
            <w:pPr>
              <w:spacing w:before="20" w:after="20"/>
              <w:jc w:val="center"/>
            </w:pPr>
            <w:r>
              <w:rPr>
                <w:sz w:val="16"/>
                <w:szCs w:val="16"/>
              </w:rPr>
              <w:t xml:space="preserve">Current length/height + age + sex</w:t>
            </w:r>
          </w:p>
        </w:tc>
        <w:tc>
          <w:tcPr>
            <w:tcW w:w="907" w:type="dxa"/>
            <w:tcBorders>
              <w:left w:val="nil"/>
              <w:bottom w:val="single" w:sz="8" w:space="0" w:color="000000"/>
              <w:right w:val="nil"/>
            </w:tcBorders>
            <w:vAlign w:val="center"/>
          </w:tcPr>
          <w:p>
            <w:pPr>
              <w:spacing w:before="20" w:after="20"/>
              <w:jc w:val="center"/>
            </w:pPr>
            <w:r>
              <w:rPr>
                <w:sz w:val="16"/>
                <w:szCs w:val="16"/>
              </w:rPr>
              <w:t xml:space="preserve">3</w:t>
            </w:r>
          </w:p>
        </w:tc>
        <w:tc>
          <w:tcPr>
            <w:tcW w:w="2438" w:type="dxa"/>
            <w:tcBorders>
              <w:left w:val="nil"/>
              <w:bottom w:val="single" w:sz="8" w:space="0" w:color="000000"/>
              <w:right w:val="nil"/>
            </w:tcBorders>
            <w:vAlign w:val="center"/>
          </w:tcPr>
          <w:p>
            <w:pPr>
              <w:spacing w:before="20" w:after="20"/>
              <w:jc w:val="center"/>
            </w:pPr>
            <w:r>
              <w:rPr>
                <w:sz w:val="16"/>
                <w:szCs w:val="16"/>
              </w:rPr>
              <w:t xml:space="preserve">Pure target leakage (upper bound)</w:t>
            </w:r>
          </w:p>
        </w:tc>
      </w:tr>
    </w:tbl>
    <w:p/>
    <w:p>
      <w:pPr>
        <w:ind w:firstLine="720"/>
        <w:jc w:val="both"/>
      </w:pPr>
      <w:r>
        <w:t xml:space="preserve">Beyond the obvious anthropometric variables, three groups of survey items were excluded from all scenarios because they are consequences or artifacts of the outcome rather than determinants: i) the reasons for receiving supplementary feeding ("severe undernutrition", "undernutrition", "thin", "weight did not increase twice"), which are recorded because a child has already been identified as malnourished; ii) the mother's specific beliefs about what stunting means, which may be influenced by having a stunted child; and iii) measurement-process fields such as the measurement position. Identifiers, sampling weights, dates, district codes with more than 500 levels, and items with more than 95% missing values were also excluded. The full exclusion list with reasons is released with the code.</w:t>
      </w:r>
    </w:p>
    <w:p>
      <w:pPr>
        <w:keepNext/>
        <w:spacing w:before="180" w:after="60"/>
      </w:pPr>
      <w:r>
        <w:rPr>
          <w:b/>
          <w:bCs/>
        </w:rPr>
        <w:t xml:space="preserve">2.3. Data splitting and pre-processing</w:t>
      </w:r>
    </w:p>
    <w:p>
      <w:pPr>
        <w:ind w:firstLine="720"/>
        <w:jc w:val="both"/>
      </w:pPr>
      <w:r>
        <w:t xml:space="preserve">Children living in the same household share environment, diet, and genetics, and 20.6% of the analyzed children have at least one other under-five child from the same household in the dataset (75,346 households in total). To prevent household-level leakage, the data were split with stratified group k-fold partitioning (five folds, household identifier as group) and the first fold was held out as the test set: 67,364 children (60,286 households) for training and 16,841 children (15,060 households) for testing, with identical stunting prevalence (23.5%) in both sets and no household in common. Sentinel codes (e.g., 8888 for unknown birth weight) were converted to missing values. All pre-processing—median imputation with missing-value indicators, standardization, and one-hot encoding for logistic regression and random forest, and ordinal encoding with native categorical handling for gradient boosting—was embedded in scikit-learn pipelines and fitted on training data only, so that no statistic of the test set influenced training [17].</w:t>
      </w:r>
    </w:p>
    <w:p>
      <w:pPr>
        <w:keepNext/>
        <w:spacing w:before="180" w:after="60"/>
      </w:pPr>
      <w:r>
        <w:rPr>
          <w:b/>
          <w:bCs/>
        </w:rPr>
        <w:t xml:space="preserve">2.4. Models</w:t>
      </w:r>
    </w:p>
    <w:p>
      <w:pPr>
        <w:ind w:firstLine="720"/>
        <w:jc w:val="both"/>
      </w:pPr>
      <w:r>
        <w:t xml:space="preserve">Three algorithms that dominate the stunting-prediction literature were trained on every scenario: L2-regularized logistic regression (LR); random forest (RF) with 200 trees, square-root feature sampling, minimum leaf size 5, and 50% bootstrap samples; and histogram-based gradient boosting (HGB) with up to 300 iterations, learning rate 0.08, 31 leaves, and early stopping on a 10% internal validation split. HGB is the scikit-learn implementation of the same second-order gradient-boosted tree family as XGBoost and was used because it natively handles missing values and categorical variables. Class imbalance was handled with balanced class weights rather than synthetic oversampling, because oversampling before splitting is itself a source of leakage [18]. Hyperparameters were fixed a priori and not tuned on the test set.</w:t>
      </w:r>
    </w:p>
    <w:p>
      <w:pPr>
        <w:keepNext/>
        <w:spacing w:before="180" w:after="60"/>
      </w:pPr>
      <w:r>
        <w:rPr>
          <w:b/>
          <w:bCs/>
        </w:rPr>
        <w:t xml:space="preserve">2.5. Evaluation</w:t>
      </w:r>
    </w:p>
    <w:p>
      <w:pPr>
        <w:ind w:firstLine="720"/>
        <w:jc w:val="both"/>
      </w:pPr>
      <w:r>
        <w:t xml:space="preserve">Performance on the held-out households was measured with the AUC, the area under the precision–recall curve (PR-AUC), accuracy, balanced accuracy, precision, recall (sensitivity), specificity, F1 score, Matthews correlation coefficient (MCC), and Brier score, using a 0.5 probability threshold. A majority-class model that always predicts "not stunted" was used as a naive reference. Ninety-five percent confidence intervals (CIs) for the AUC were obtained from 1,000 bootstrap resamples of the test set. The effect of leakage was measured with the paired difference ΔAUC = AUC(leaky) − AUC(B) on the same bootstrap resamples, together with the relative inflation of discrimination above chance in (2):</w:t>
      </w:r>
    </w:p>
    <w:p>
      <w:pPr>
        <w:tabs>
          <w:tab w:val="center" w:pos="4394"/>
          <w:tab w:val="right" w:pos="8789"/>
        </w:tabs>
        <w:spacing w:before="120" w:after="120"/>
      </w:pPr>
      <w:r>
        <w:tab/>
      </w:r>
      <m:oMath>
        <m:r>
          <m:t xml:space="preserve">Inflation</m:t>
        </m:r>
        <m:r>
          <m:rPr>
            <m:sty m:val="p"/>
          </m:rPr>
          <m:t xml:space="preserve">=</m:t>
        </m:r>
        <m:r>
          <m:rPr>
            <m:sty m:val="p"/>
          </m:rPr>
          <m:t xml:space="preserve">100</m:t>
        </m:r>
        <m:r>
          <m:rPr>
            <m:sty m:val="p"/>
          </m:rPr>
          <m:t xml:space="preserve">×</m:t>
        </m:r>
        <m:f>
          <m:num>
            <m:sSub>
              <m:e>
                <m:r>
                  <m:t xml:space="preserve">AUC</m:t>
                </m:r>
              </m:e>
              <m:sub>
                <m:r>
                  <m:t xml:space="preserve">leaky</m:t>
                </m:r>
              </m:sub>
            </m:sSub>
            <m:r>
              <m:rPr>
                <m:sty m:val="p"/>
              </m:rPr>
              <m:t xml:space="preserve">−</m:t>
            </m:r>
            <m:sSub>
              <m:e>
                <m:r>
                  <m:t xml:space="preserve">AUC</m:t>
                </m:r>
              </m:e>
              <m:sub>
                <m:r>
                  <m:t xml:space="preserve">B</m:t>
                </m:r>
              </m:sub>
            </m:sSub>
          </m:num>
          <m:den>
            <m:sSub>
              <m:e>
                <m:r>
                  <m:t xml:space="preserve">AUC</m:t>
                </m:r>
              </m:e>
              <m:sub>
                <m:r>
                  <m:t xml:space="preserve">B</m:t>
                </m:r>
              </m:sub>
            </m:sSub>
            <m:r>
              <m:rPr>
                <m:sty m:val="p"/>
              </m:rPr>
              <m:t xml:space="preserve">−0.5</m:t>
            </m:r>
          </m:den>
        </m:f>
        <m:r>
          <m:rPr>
            <m:sty m:val="p"/>
          </m:rPr>
          <m:t xml:space="preserve">%</m:t>
        </m:r>
      </m:oMath>
      <w:r>
        <w:tab/>
        <w:t>(2)</w:t>
      </w:r>
    </w:p>
    <w:p>
      <w:pPr>
        <w:ind w:firstLine="720"/>
        <w:jc w:val="both"/>
      </w:pPr>
      <w:r>
        <w:t xml:space="preserve">To confirm that the results do not depend on one split, HGB was also evaluated with household-grouped five-fold cross-validation. Finally, permutation importance (decrease in AUC when a variable is randomly shuffled, three repeats, 8,000 test children) was computed for HGB in scenarios A2 and B to show which variables drive each model [21], [23].</w:t>
      </w:r>
    </w:p>
    <w:p>
      <w:pPr>
        <w:keepNext/>
        <w:numPr>
          <w:ilvl w:val="0"/>
          <w:numId w:val="15"/>
        </w:numPr>
        <w:tabs>
          <w:tab w:val="left" w:pos="426"/>
        </w:tabs>
        <w:spacing w:before="240" w:after="120"/>
        <w:ind w:left="426" w:hanging="426"/>
      </w:pPr>
      <w:r>
        <w:rPr>
          <w:b/>
          <w:bCs/>
        </w:rPr>
        <w:t xml:space="preserve">RESULTS AND DISCUSSION</w:t>
      </w:r>
    </w:p>
    <w:p>
      <w:pPr>
        <w:keepNext/>
        <w:spacing w:before="180" w:after="60"/>
      </w:pPr>
      <w:r>
        <w:rPr>
          <w:b/>
          <w:bCs/>
        </w:rPr>
        <w:t xml:space="preserve">3.1. Leakage-free baseline performance</w:t>
      </w:r>
    </w:p>
    <w:p>
      <w:pPr>
        <w:ind w:firstLine="720"/>
        <w:jc w:val="both"/>
      </w:pPr>
      <w:r>
        <w:t xml:space="preserve">Table 2 reports the hold-out performance of all 12 model–scenario combinations. Using only upstream determinants (scenario B), discrimination was modest and remarkably similar across algorithms: AUC 0.656 (95% CI 0.647–0.665) for LR, 0.654 (0.644–0.663) for RF, and 0.670 (0.661–0.679) for HGB. The best leakage-free model, HGB, detected 61.3% of stunted children at a specificity of 63.4%, with an F1 score of 0.438 and MCC of 0.212. Household-grouped cross-validation gave the same picture (AUC 0.671 ± 0.005 across folds; Table 3), indicating that the estimate is stable.</w:t>
      </w:r>
    </w:p>
    <w:p>
      <w:pPr>
        <w:ind w:firstLine="720"/>
        <w:jc w:val="both"/>
      </w:pPr>
      <w:r>
        <w:t xml:space="preserve">These values are far below those reported in much of the literature, but they are what can honestly be expected from cross-sectional survey determinants of a chronic, multifactorial condition. They are also informative about metric choice. The RF in scenario B reached 74.4% accuracy, which appears acceptable until it is compared with the 76.5% accuracy of the majority-class model that never predicts stunting; its recall was only 21.3%. With a prevalence of 23.5%, accuracy rewards models that ignore the minority class, which is why threshold-independent metrics such as AUC and PR-AUC, together with recall and MCC, should be the primary reporting metrics [23], [27].</w:t>
      </w:r>
    </w:p>
    <w:p>
      <w:pPr>
        <w:keepNext/>
        <w:spacing w:before="120" w:after="60"/>
        <w:jc w:val="center"/>
      </w:pPr>
      <w:r>
        <w:t xml:space="preserve">Table 2. Hold-out performance on 16,841 children from 15,060 unseen households (threshold 0.5)</w:t>
      </w:r>
    </w:p>
    <w:tbl>
      <w:tblPr>
        <w:tblW w:w="8331" w:type="dxa"/>
        <w:jc w:val="center"/>
        <w:tblLayout w:type="fixed"/>
        <w:tblCellMar>
          <w:left w:w="57" w:type="dxa"/>
          <w:right w:w="57" w:type="dxa"/>
        </w:tblCellMar>
      </w:tblPr>
      <w:tblGrid>
        <w:gridCol w:w="850"/>
        <w:gridCol w:w="1190"/>
        <w:gridCol w:w="1701"/>
        <w:gridCol w:w="765"/>
        <w:gridCol w:w="765"/>
        <w:gridCol w:w="765"/>
        <w:gridCol w:w="765"/>
        <w:gridCol w:w="765"/>
        <w:gridCol w:w="765"/>
      </w:tblGrid>
      <w:tr>
        <w:trPr>
          <w:cantSplit/>
        </w:trPr>
        <w:tc>
          <w:tcPr>
            <w:tcW w:w="850" w:type="dxa"/>
            <w:tcBorders>
              <w:top w:val="single" w:sz="8" w:space="0" w:color="000000"/>
              <w:left w:val="nil"/>
              <w:bottom w:val="single" w:sz="4" w:space="0" w:color="000000"/>
              <w:right w:val="nil"/>
            </w:tcBorders>
            <w:vAlign w:val="center"/>
          </w:tcPr>
          <w:p>
            <w:pPr>
              <w:keepNext/>
              <w:spacing w:before="20" w:after="20"/>
              <w:jc w:val="left"/>
            </w:pPr>
            <w:r>
              <w:rPr>
                <w:b/>
                <w:bCs/>
                <w:sz w:val="14"/>
                <w:szCs w:val="14"/>
              </w:rPr>
              <w:t xml:space="preserve">Scenario</w:t>
            </w:r>
          </w:p>
        </w:tc>
        <w:tc>
          <w:tcPr>
            <w:tcW w:w="1190" w:type="dxa"/>
            <w:tcBorders>
              <w:top w:val="single" w:sz="8" w:space="0" w:color="000000"/>
              <w:left w:val="nil"/>
              <w:bottom w:val="single" w:sz="4" w:space="0" w:color="000000"/>
              <w:right w:val="nil"/>
            </w:tcBorders>
            <w:vAlign w:val="center"/>
          </w:tcPr>
          <w:p>
            <w:pPr>
              <w:keepNext/>
              <w:spacing w:before="20" w:after="20"/>
              <w:jc w:val="center"/>
            </w:pPr>
            <w:r>
              <w:rPr>
                <w:b/>
                <w:bCs/>
                <w:sz w:val="14"/>
                <w:szCs w:val="14"/>
              </w:rPr>
              <w:t xml:space="preserve">Model</w:t>
            </w:r>
          </w:p>
        </w:tc>
        <w:tc>
          <w:tcPr>
            <w:tcW w:w="1701" w:type="dxa"/>
            <w:tcBorders>
              <w:top w:val="single" w:sz="8" w:space="0" w:color="000000"/>
              <w:left w:val="nil"/>
              <w:bottom w:val="single" w:sz="4" w:space="0" w:color="000000"/>
              <w:right w:val="nil"/>
            </w:tcBorders>
            <w:vAlign w:val="center"/>
          </w:tcPr>
          <w:p>
            <w:pPr>
              <w:keepNext/>
              <w:spacing w:before="20" w:after="20"/>
              <w:jc w:val="center"/>
            </w:pPr>
            <w:r>
              <w:rPr>
                <w:b/>
                <w:bCs/>
                <w:sz w:val="14"/>
                <w:szCs w:val="14"/>
              </w:rPr>
              <w:t xml:space="preserve">AUC (95% CI)</w:t>
            </w:r>
          </w:p>
        </w:tc>
        <w:tc>
          <w:tcPr>
            <w:tcW w:w="765" w:type="dxa"/>
            <w:tcBorders>
              <w:top w:val="single" w:sz="8" w:space="0" w:color="000000"/>
              <w:left w:val="nil"/>
              <w:bottom w:val="single" w:sz="4" w:space="0" w:color="000000"/>
              <w:right w:val="nil"/>
            </w:tcBorders>
            <w:vAlign w:val="center"/>
          </w:tcPr>
          <w:p>
            <w:pPr>
              <w:keepNext/>
              <w:spacing w:before="20" w:after="20"/>
              <w:jc w:val="center"/>
            </w:pPr>
            <w:r>
              <w:rPr>
                <w:b/>
                <w:bCs/>
                <w:sz w:val="14"/>
                <w:szCs w:val="14"/>
              </w:rPr>
              <w:t xml:space="preserve">PR-AUC</w:t>
            </w:r>
          </w:p>
        </w:tc>
        <w:tc>
          <w:tcPr>
            <w:tcW w:w="765" w:type="dxa"/>
            <w:tcBorders>
              <w:top w:val="single" w:sz="8" w:space="0" w:color="000000"/>
              <w:left w:val="nil"/>
              <w:bottom w:val="single" w:sz="4" w:space="0" w:color="000000"/>
              <w:right w:val="nil"/>
            </w:tcBorders>
            <w:vAlign w:val="center"/>
          </w:tcPr>
          <w:p>
            <w:pPr>
              <w:keepNext/>
              <w:spacing w:before="20" w:after="20"/>
              <w:jc w:val="center"/>
            </w:pPr>
            <w:r>
              <w:rPr>
                <w:b/>
                <w:bCs/>
                <w:sz w:val="14"/>
                <w:szCs w:val="14"/>
              </w:rPr>
              <w:t xml:space="preserve">Accuracy</w:t>
            </w:r>
          </w:p>
        </w:tc>
        <w:tc>
          <w:tcPr>
            <w:tcW w:w="765" w:type="dxa"/>
            <w:tcBorders>
              <w:top w:val="single" w:sz="8" w:space="0" w:color="000000"/>
              <w:left w:val="nil"/>
              <w:bottom w:val="single" w:sz="4" w:space="0" w:color="000000"/>
              <w:right w:val="nil"/>
            </w:tcBorders>
            <w:vAlign w:val="center"/>
          </w:tcPr>
          <w:p>
            <w:pPr>
              <w:keepNext/>
              <w:spacing w:before="20" w:after="20"/>
              <w:jc w:val="center"/>
            </w:pPr>
            <w:r>
              <w:rPr>
                <w:b/>
                <w:bCs/>
                <w:sz w:val="14"/>
                <w:szCs w:val="14"/>
              </w:rPr>
              <w:t xml:space="preserve">Recall</w:t>
            </w:r>
          </w:p>
        </w:tc>
        <w:tc>
          <w:tcPr>
            <w:tcW w:w="765" w:type="dxa"/>
            <w:tcBorders>
              <w:top w:val="single" w:sz="8" w:space="0" w:color="000000"/>
              <w:left w:val="nil"/>
              <w:bottom w:val="single" w:sz="4" w:space="0" w:color="000000"/>
              <w:right w:val="nil"/>
            </w:tcBorders>
            <w:vAlign w:val="center"/>
          </w:tcPr>
          <w:p>
            <w:pPr>
              <w:keepNext/>
              <w:spacing w:before="20" w:after="20"/>
              <w:jc w:val="center"/>
            </w:pPr>
            <w:r>
              <w:rPr>
                <w:b/>
                <w:bCs/>
                <w:sz w:val="14"/>
                <w:szCs w:val="14"/>
              </w:rPr>
              <w:t xml:space="preserve">Specificity</w:t>
            </w:r>
          </w:p>
        </w:tc>
        <w:tc>
          <w:tcPr>
            <w:tcW w:w="765" w:type="dxa"/>
            <w:tcBorders>
              <w:top w:val="single" w:sz="8" w:space="0" w:color="000000"/>
              <w:left w:val="nil"/>
              <w:bottom w:val="single" w:sz="4" w:space="0" w:color="000000"/>
              <w:right w:val="nil"/>
            </w:tcBorders>
            <w:vAlign w:val="center"/>
          </w:tcPr>
          <w:p>
            <w:pPr>
              <w:keepNext/>
              <w:spacing w:before="20" w:after="20"/>
              <w:jc w:val="center"/>
            </w:pPr>
            <w:r>
              <w:rPr>
                <w:b/>
                <w:bCs/>
                <w:sz w:val="14"/>
                <w:szCs w:val="14"/>
              </w:rPr>
              <w:t xml:space="preserve">F1</w:t>
            </w:r>
          </w:p>
        </w:tc>
        <w:tc>
          <w:tcPr>
            <w:tcW w:w="765" w:type="dxa"/>
            <w:tcBorders>
              <w:top w:val="single" w:sz="8" w:space="0" w:color="000000"/>
              <w:left w:val="nil"/>
              <w:bottom w:val="single" w:sz="4" w:space="0" w:color="000000"/>
              <w:right w:val="nil"/>
            </w:tcBorders>
            <w:vAlign w:val="center"/>
          </w:tcPr>
          <w:p>
            <w:pPr>
              <w:keepNext/>
              <w:spacing w:before="20" w:after="20"/>
              <w:jc w:val="center"/>
            </w:pPr>
            <w:r>
              <w:rPr>
                <w:b/>
                <w:bCs/>
                <w:sz w:val="14"/>
                <w:szCs w:val="14"/>
              </w:rPr>
              <w:t xml:space="preserve">MCC</w:t>
            </w:r>
          </w:p>
        </w:tc>
      </w:tr>
      <w:tr>
        <w:trPr>
          <w:cantSplit/>
        </w:trPr>
        <w:tc>
          <w:tcPr>
            <w:tcW w:w="850" w:type="dxa"/>
            <w:tcBorders>
              <w:left w:val="nil"/>
              <w:right w:val="nil"/>
            </w:tcBorders>
            <w:vAlign w:val="center"/>
          </w:tcPr>
          <w:p>
            <w:pPr>
              <w:keepNext/>
              <w:spacing w:before="20" w:after="20"/>
              <w:jc w:val="left"/>
            </w:pPr>
            <w:r>
              <w:rPr>
                <w:sz w:val="14"/>
                <w:szCs w:val="14"/>
              </w:rPr>
              <w:t xml:space="preserve">Baseline</w:t>
            </w:r>
          </w:p>
        </w:tc>
        <w:tc>
          <w:tcPr>
            <w:tcW w:w="1190" w:type="dxa"/>
            <w:tcBorders>
              <w:left w:val="nil"/>
              <w:right w:val="nil"/>
            </w:tcBorders>
            <w:vAlign w:val="center"/>
          </w:tcPr>
          <w:p>
            <w:pPr>
              <w:keepNext/>
              <w:spacing w:before="20" w:after="20"/>
              <w:jc w:val="center"/>
            </w:pPr>
            <w:r>
              <w:rPr>
                <w:sz w:val="14"/>
                <w:szCs w:val="14"/>
              </w:rPr>
              <w:t xml:space="preserve">Majority class</w:t>
            </w:r>
          </w:p>
        </w:tc>
        <w:tc>
          <w:tcPr>
            <w:tcW w:w="1701" w:type="dxa"/>
            <w:tcBorders>
              <w:left w:val="nil"/>
              <w:right w:val="nil"/>
            </w:tcBorders>
            <w:vAlign w:val="center"/>
          </w:tcPr>
          <w:p>
            <w:pPr>
              <w:keepNext/>
              <w:spacing w:before="20" w:after="20"/>
              <w:jc w:val="center"/>
            </w:pPr>
            <w:r>
              <w:rPr>
                <w:sz w:val="14"/>
                <w:szCs w:val="14"/>
              </w:rPr>
              <w:t xml:space="preserve">0.500</w:t>
            </w:r>
          </w:p>
        </w:tc>
        <w:tc>
          <w:tcPr>
            <w:tcW w:w="765" w:type="dxa"/>
            <w:tcBorders>
              <w:left w:val="nil"/>
              <w:right w:val="nil"/>
            </w:tcBorders>
            <w:vAlign w:val="center"/>
          </w:tcPr>
          <w:p>
            <w:pPr>
              <w:keepNext/>
              <w:spacing w:before="20" w:after="20"/>
              <w:jc w:val="center"/>
            </w:pPr>
            <w:r>
              <w:rPr>
                <w:sz w:val="14"/>
                <w:szCs w:val="14"/>
              </w:rPr>
              <w:t xml:space="preserve">0.235</w:t>
            </w:r>
          </w:p>
        </w:tc>
        <w:tc>
          <w:tcPr>
            <w:tcW w:w="765" w:type="dxa"/>
            <w:tcBorders>
              <w:left w:val="nil"/>
              <w:right w:val="nil"/>
            </w:tcBorders>
            <w:vAlign w:val="center"/>
          </w:tcPr>
          <w:p>
            <w:pPr>
              <w:keepNext/>
              <w:spacing w:before="20" w:after="20"/>
              <w:jc w:val="center"/>
            </w:pPr>
            <w:r>
              <w:rPr>
                <w:sz w:val="14"/>
                <w:szCs w:val="14"/>
              </w:rPr>
              <w:t xml:space="preserve">0.765</w:t>
            </w:r>
          </w:p>
        </w:tc>
        <w:tc>
          <w:tcPr>
            <w:tcW w:w="765" w:type="dxa"/>
            <w:tcBorders>
              <w:left w:val="nil"/>
              <w:right w:val="nil"/>
            </w:tcBorders>
            <w:vAlign w:val="center"/>
          </w:tcPr>
          <w:p>
            <w:pPr>
              <w:keepNext/>
              <w:spacing w:before="20" w:after="20"/>
              <w:jc w:val="center"/>
            </w:pPr>
            <w:r>
              <w:rPr>
                <w:sz w:val="14"/>
                <w:szCs w:val="14"/>
              </w:rPr>
              <w:t xml:space="preserve">0.000</w:t>
            </w:r>
          </w:p>
        </w:tc>
        <w:tc>
          <w:tcPr>
            <w:tcW w:w="765" w:type="dxa"/>
            <w:tcBorders>
              <w:left w:val="nil"/>
              <w:right w:val="nil"/>
            </w:tcBorders>
            <w:vAlign w:val="center"/>
          </w:tcPr>
          <w:p>
            <w:pPr>
              <w:keepNext/>
              <w:spacing w:before="20" w:after="20"/>
              <w:jc w:val="center"/>
            </w:pPr>
            <w:r>
              <w:rPr>
                <w:sz w:val="14"/>
                <w:szCs w:val="14"/>
              </w:rPr>
              <w:t xml:space="preserve">1.000</w:t>
            </w:r>
          </w:p>
        </w:tc>
        <w:tc>
          <w:tcPr>
            <w:tcW w:w="765" w:type="dxa"/>
            <w:tcBorders>
              <w:left w:val="nil"/>
              <w:right w:val="nil"/>
            </w:tcBorders>
            <w:vAlign w:val="center"/>
          </w:tcPr>
          <w:p>
            <w:pPr>
              <w:keepNext/>
              <w:spacing w:before="20" w:after="20"/>
              <w:jc w:val="center"/>
            </w:pPr>
            <w:r>
              <w:rPr>
                <w:sz w:val="14"/>
                <w:szCs w:val="14"/>
              </w:rPr>
              <w:t xml:space="preserve">0.000</w:t>
            </w:r>
          </w:p>
        </w:tc>
        <w:tc>
          <w:tcPr>
            <w:tcW w:w="765" w:type="dxa"/>
            <w:tcBorders>
              <w:left w:val="nil"/>
              <w:right w:val="nil"/>
            </w:tcBorders>
            <w:vAlign w:val="center"/>
          </w:tcPr>
          <w:p>
            <w:pPr>
              <w:keepNext/>
              <w:spacing w:before="20" w:after="20"/>
              <w:jc w:val="center"/>
            </w:pPr>
            <w:r>
              <w:rPr>
                <w:sz w:val="14"/>
                <w:szCs w:val="14"/>
              </w:rPr>
              <w:t xml:space="preserve">0.000</w:t>
            </w:r>
          </w:p>
        </w:tc>
      </w:tr>
      <w:tr>
        <w:trPr>
          <w:cantSplit/>
        </w:trPr>
        <w:tc>
          <w:tcPr>
            <w:tcW w:w="850" w:type="dxa"/>
            <w:tcBorders>
              <w:left w:val="nil"/>
              <w:right w:val="nil"/>
            </w:tcBorders>
            <w:vAlign w:val="center"/>
          </w:tcPr>
          <w:p>
            <w:pPr>
              <w:keepNext/>
              <w:spacing w:before="20" w:after="20"/>
              <w:jc w:val="left"/>
            </w:pPr>
            <w:r>
              <w:rPr>
                <w:sz w:val="14"/>
                <w:szCs w:val="14"/>
              </w:rPr>
              <w:t xml:space="preserve">B</w:t>
            </w:r>
          </w:p>
        </w:tc>
        <w:tc>
          <w:tcPr>
            <w:tcW w:w="1190" w:type="dxa"/>
            <w:tcBorders>
              <w:left w:val="nil"/>
              <w:right w:val="nil"/>
            </w:tcBorders>
            <w:vAlign w:val="center"/>
          </w:tcPr>
          <w:p>
            <w:pPr>
              <w:keepNext/>
              <w:spacing w:before="20" w:after="20"/>
              <w:jc w:val="center"/>
            </w:pPr>
            <w:r>
              <w:rPr>
                <w:sz w:val="14"/>
                <w:szCs w:val="14"/>
              </w:rPr>
              <w:t xml:space="preserve">LR</w:t>
            </w:r>
          </w:p>
        </w:tc>
        <w:tc>
          <w:tcPr>
            <w:tcW w:w="1701" w:type="dxa"/>
            <w:tcBorders>
              <w:left w:val="nil"/>
              <w:right w:val="nil"/>
            </w:tcBorders>
            <w:vAlign w:val="center"/>
          </w:tcPr>
          <w:p>
            <w:pPr>
              <w:keepNext/>
              <w:spacing w:before="20" w:after="20"/>
              <w:jc w:val="center"/>
            </w:pPr>
            <w:r>
              <w:rPr>
                <w:sz w:val="14"/>
                <w:szCs w:val="14"/>
              </w:rPr>
              <w:t xml:space="preserve">0.656 (0.647–0.665)</w:t>
            </w:r>
          </w:p>
        </w:tc>
        <w:tc>
          <w:tcPr>
            <w:tcW w:w="765" w:type="dxa"/>
            <w:tcBorders>
              <w:left w:val="nil"/>
              <w:right w:val="nil"/>
            </w:tcBorders>
            <w:vAlign w:val="center"/>
          </w:tcPr>
          <w:p>
            <w:pPr>
              <w:keepNext/>
              <w:spacing w:before="20" w:after="20"/>
              <w:jc w:val="center"/>
            </w:pPr>
            <w:r>
              <w:rPr>
                <w:sz w:val="14"/>
                <w:szCs w:val="14"/>
              </w:rPr>
              <w:t xml:space="preserve">0.356</w:t>
            </w:r>
          </w:p>
        </w:tc>
        <w:tc>
          <w:tcPr>
            <w:tcW w:w="765" w:type="dxa"/>
            <w:tcBorders>
              <w:left w:val="nil"/>
              <w:right w:val="nil"/>
            </w:tcBorders>
            <w:vAlign w:val="center"/>
          </w:tcPr>
          <w:p>
            <w:pPr>
              <w:keepNext/>
              <w:spacing w:before="20" w:after="20"/>
              <w:jc w:val="center"/>
            </w:pPr>
            <w:r>
              <w:rPr>
                <w:sz w:val="14"/>
                <w:szCs w:val="14"/>
              </w:rPr>
              <w:t xml:space="preserve">0.610</w:t>
            </w:r>
          </w:p>
        </w:tc>
        <w:tc>
          <w:tcPr>
            <w:tcW w:w="765" w:type="dxa"/>
            <w:tcBorders>
              <w:left w:val="nil"/>
              <w:right w:val="nil"/>
            </w:tcBorders>
            <w:vAlign w:val="center"/>
          </w:tcPr>
          <w:p>
            <w:pPr>
              <w:keepNext/>
              <w:spacing w:before="20" w:after="20"/>
              <w:jc w:val="center"/>
            </w:pPr>
            <w:r>
              <w:rPr>
                <w:sz w:val="14"/>
                <w:szCs w:val="14"/>
              </w:rPr>
              <w:t xml:space="preserve">0.615</w:t>
            </w:r>
          </w:p>
        </w:tc>
        <w:tc>
          <w:tcPr>
            <w:tcW w:w="765" w:type="dxa"/>
            <w:tcBorders>
              <w:left w:val="nil"/>
              <w:right w:val="nil"/>
            </w:tcBorders>
            <w:vAlign w:val="center"/>
          </w:tcPr>
          <w:p>
            <w:pPr>
              <w:keepNext/>
              <w:spacing w:before="20" w:after="20"/>
              <w:jc w:val="center"/>
            </w:pPr>
            <w:r>
              <w:rPr>
                <w:sz w:val="14"/>
                <w:szCs w:val="14"/>
              </w:rPr>
              <w:t xml:space="preserve">0.609</w:t>
            </w:r>
          </w:p>
        </w:tc>
        <w:tc>
          <w:tcPr>
            <w:tcW w:w="765" w:type="dxa"/>
            <w:tcBorders>
              <w:left w:val="nil"/>
              <w:right w:val="nil"/>
            </w:tcBorders>
            <w:vAlign w:val="center"/>
          </w:tcPr>
          <w:p>
            <w:pPr>
              <w:keepNext/>
              <w:spacing w:before="20" w:after="20"/>
              <w:jc w:val="center"/>
            </w:pPr>
            <w:r>
              <w:rPr>
                <w:sz w:val="14"/>
                <w:szCs w:val="14"/>
              </w:rPr>
              <w:t xml:space="preserve">0.426</w:t>
            </w:r>
          </w:p>
        </w:tc>
        <w:tc>
          <w:tcPr>
            <w:tcW w:w="765" w:type="dxa"/>
            <w:tcBorders>
              <w:left w:val="nil"/>
              <w:right w:val="nil"/>
            </w:tcBorders>
            <w:vAlign w:val="center"/>
          </w:tcPr>
          <w:p>
            <w:pPr>
              <w:keepNext/>
              <w:spacing w:before="20" w:after="20"/>
              <w:jc w:val="center"/>
            </w:pPr>
            <w:r>
              <w:rPr>
                <w:sz w:val="14"/>
                <w:szCs w:val="14"/>
              </w:rPr>
              <w:t xml:space="preserve">0.191</w:t>
            </w:r>
          </w:p>
        </w:tc>
      </w:tr>
      <w:tr>
        <w:trPr>
          <w:cantSplit/>
        </w:trPr>
        <w:tc>
          <w:tcPr>
            <w:tcW w:w="850" w:type="dxa"/>
            <w:tcBorders>
              <w:left w:val="nil"/>
              <w:right w:val="nil"/>
            </w:tcBorders>
            <w:vAlign w:val="center"/>
          </w:tcPr>
          <w:p>
            <w:pPr>
              <w:keepNext/>
              <w:spacing w:before="20" w:after="20"/>
              <w:jc w:val="left"/>
            </w:pPr>
            <w:r>
              <w:rPr>
                <w:sz w:val="14"/>
                <w:szCs w:val="14"/>
              </w:rPr>
              <w:t xml:space="preserve">B</w:t>
            </w:r>
          </w:p>
        </w:tc>
        <w:tc>
          <w:tcPr>
            <w:tcW w:w="1190" w:type="dxa"/>
            <w:tcBorders>
              <w:left w:val="nil"/>
              <w:right w:val="nil"/>
            </w:tcBorders>
            <w:vAlign w:val="center"/>
          </w:tcPr>
          <w:p>
            <w:pPr>
              <w:keepNext/>
              <w:spacing w:before="20" w:after="20"/>
              <w:jc w:val="center"/>
            </w:pPr>
            <w:r>
              <w:rPr>
                <w:sz w:val="14"/>
                <w:szCs w:val="14"/>
              </w:rPr>
              <w:t xml:space="preserve">RF</w:t>
            </w:r>
          </w:p>
        </w:tc>
        <w:tc>
          <w:tcPr>
            <w:tcW w:w="1701" w:type="dxa"/>
            <w:tcBorders>
              <w:left w:val="nil"/>
              <w:right w:val="nil"/>
            </w:tcBorders>
            <w:vAlign w:val="center"/>
          </w:tcPr>
          <w:p>
            <w:pPr>
              <w:keepNext/>
              <w:spacing w:before="20" w:after="20"/>
              <w:jc w:val="center"/>
            </w:pPr>
            <w:r>
              <w:rPr>
                <w:sz w:val="14"/>
                <w:szCs w:val="14"/>
              </w:rPr>
              <w:t xml:space="preserve">0.654 (0.644–0.663)</w:t>
            </w:r>
          </w:p>
        </w:tc>
        <w:tc>
          <w:tcPr>
            <w:tcW w:w="765" w:type="dxa"/>
            <w:tcBorders>
              <w:left w:val="nil"/>
              <w:right w:val="nil"/>
            </w:tcBorders>
            <w:vAlign w:val="center"/>
          </w:tcPr>
          <w:p>
            <w:pPr>
              <w:keepNext/>
              <w:spacing w:before="20" w:after="20"/>
              <w:jc w:val="center"/>
            </w:pPr>
            <w:r>
              <w:rPr>
                <w:sz w:val="14"/>
                <w:szCs w:val="14"/>
              </w:rPr>
              <w:t xml:space="preserve">0.358</w:t>
            </w:r>
          </w:p>
        </w:tc>
        <w:tc>
          <w:tcPr>
            <w:tcW w:w="765" w:type="dxa"/>
            <w:tcBorders>
              <w:left w:val="nil"/>
              <w:right w:val="nil"/>
            </w:tcBorders>
            <w:vAlign w:val="center"/>
          </w:tcPr>
          <w:p>
            <w:pPr>
              <w:keepNext/>
              <w:spacing w:before="20" w:after="20"/>
              <w:jc w:val="center"/>
            </w:pPr>
            <w:r>
              <w:rPr>
                <w:sz w:val="14"/>
                <w:szCs w:val="14"/>
              </w:rPr>
              <w:t xml:space="preserve">0.744</w:t>
            </w:r>
          </w:p>
        </w:tc>
        <w:tc>
          <w:tcPr>
            <w:tcW w:w="765" w:type="dxa"/>
            <w:tcBorders>
              <w:left w:val="nil"/>
              <w:right w:val="nil"/>
            </w:tcBorders>
            <w:vAlign w:val="center"/>
          </w:tcPr>
          <w:p>
            <w:pPr>
              <w:keepNext/>
              <w:spacing w:before="20" w:after="20"/>
              <w:jc w:val="center"/>
            </w:pPr>
            <w:r>
              <w:rPr>
                <w:sz w:val="14"/>
                <w:szCs w:val="14"/>
              </w:rPr>
              <w:t xml:space="preserve">0.213</w:t>
            </w:r>
          </w:p>
        </w:tc>
        <w:tc>
          <w:tcPr>
            <w:tcW w:w="765" w:type="dxa"/>
            <w:tcBorders>
              <w:left w:val="nil"/>
              <w:right w:val="nil"/>
            </w:tcBorders>
            <w:vAlign w:val="center"/>
          </w:tcPr>
          <w:p>
            <w:pPr>
              <w:keepNext/>
              <w:spacing w:before="20" w:after="20"/>
              <w:jc w:val="center"/>
            </w:pPr>
            <w:r>
              <w:rPr>
                <w:sz w:val="14"/>
                <w:szCs w:val="14"/>
              </w:rPr>
              <w:t xml:space="preserve">0.908</w:t>
            </w:r>
          </w:p>
        </w:tc>
        <w:tc>
          <w:tcPr>
            <w:tcW w:w="765" w:type="dxa"/>
            <w:tcBorders>
              <w:left w:val="nil"/>
              <w:right w:val="nil"/>
            </w:tcBorders>
            <w:vAlign w:val="center"/>
          </w:tcPr>
          <w:p>
            <w:pPr>
              <w:keepNext/>
              <w:spacing w:before="20" w:after="20"/>
              <w:jc w:val="center"/>
            </w:pPr>
            <w:r>
              <w:rPr>
                <w:sz w:val="14"/>
                <w:szCs w:val="14"/>
              </w:rPr>
              <w:t xml:space="preserve">0.282</w:t>
            </w:r>
          </w:p>
        </w:tc>
        <w:tc>
          <w:tcPr>
            <w:tcW w:w="765" w:type="dxa"/>
            <w:tcBorders>
              <w:left w:val="nil"/>
              <w:right w:val="nil"/>
            </w:tcBorders>
            <w:vAlign w:val="center"/>
          </w:tcPr>
          <w:p>
            <w:pPr>
              <w:keepNext/>
              <w:spacing w:before="20" w:after="20"/>
              <w:jc w:val="center"/>
            </w:pPr>
            <w:r>
              <w:rPr>
                <w:sz w:val="14"/>
                <w:szCs w:val="14"/>
              </w:rPr>
              <w:t xml:space="preserve">0.158</w:t>
            </w:r>
          </w:p>
        </w:tc>
      </w:tr>
      <w:tr>
        <w:trPr>
          <w:cantSplit/>
        </w:trPr>
        <w:tc>
          <w:tcPr>
            <w:tcW w:w="850" w:type="dxa"/>
            <w:tcBorders>
              <w:left w:val="nil"/>
              <w:right w:val="nil"/>
            </w:tcBorders>
            <w:vAlign w:val="center"/>
          </w:tcPr>
          <w:p>
            <w:pPr>
              <w:keepNext/>
              <w:spacing w:before="20" w:after="20"/>
              <w:jc w:val="left"/>
            </w:pPr>
            <w:r>
              <w:rPr>
                <w:sz w:val="14"/>
                <w:szCs w:val="14"/>
              </w:rPr>
              <w:t xml:space="preserve">B</w:t>
            </w:r>
          </w:p>
        </w:tc>
        <w:tc>
          <w:tcPr>
            <w:tcW w:w="1190" w:type="dxa"/>
            <w:tcBorders>
              <w:left w:val="nil"/>
              <w:right w:val="nil"/>
            </w:tcBorders>
            <w:vAlign w:val="center"/>
          </w:tcPr>
          <w:p>
            <w:pPr>
              <w:keepNext/>
              <w:spacing w:before="20" w:after="20"/>
              <w:jc w:val="center"/>
            </w:pPr>
            <w:r>
              <w:rPr>
                <w:sz w:val="14"/>
                <w:szCs w:val="14"/>
              </w:rPr>
              <w:t xml:space="preserve">HGB</w:t>
            </w:r>
          </w:p>
        </w:tc>
        <w:tc>
          <w:tcPr>
            <w:tcW w:w="1701" w:type="dxa"/>
            <w:tcBorders>
              <w:left w:val="nil"/>
              <w:right w:val="nil"/>
            </w:tcBorders>
            <w:vAlign w:val="center"/>
          </w:tcPr>
          <w:p>
            <w:pPr>
              <w:keepNext/>
              <w:spacing w:before="20" w:after="20"/>
              <w:jc w:val="center"/>
            </w:pPr>
            <w:r>
              <w:rPr>
                <w:sz w:val="14"/>
                <w:szCs w:val="14"/>
              </w:rPr>
              <w:t xml:space="preserve">0.670 (0.661–0.679)</w:t>
            </w:r>
          </w:p>
        </w:tc>
        <w:tc>
          <w:tcPr>
            <w:tcW w:w="765" w:type="dxa"/>
            <w:tcBorders>
              <w:left w:val="nil"/>
              <w:right w:val="nil"/>
            </w:tcBorders>
            <w:vAlign w:val="center"/>
          </w:tcPr>
          <w:p>
            <w:pPr>
              <w:keepNext/>
              <w:spacing w:before="20" w:after="20"/>
              <w:jc w:val="center"/>
            </w:pPr>
            <w:r>
              <w:rPr>
                <w:sz w:val="14"/>
                <w:szCs w:val="14"/>
              </w:rPr>
              <w:t xml:space="preserve">0.373</w:t>
            </w:r>
          </w:p>
        </w:tc>
        <w:tc>
          <w:tcPr>
            <w:tcW w:w="765" w:type="dxa"/>
            <w:tcBorders>
              <w:left w:val="nil"/>
              <w:right w:val="nil"/>
            </w:tcBorders>
            <w:vAlign w:val="center"/>
          </w:tcPr>
          <w:p>
            <w:pPr>
              <w:keepNext/>
              <w:spacing w:before="20" w:after="20"/>
              <w:jc w:val="center"/>
            </w:pPr>
            <w:r>
              <w:rPr>
                <w:sz w:val="14"/>
                <w:szCs w:val="14"/>
              </w:rPr>
              <w:t xml:space="preserve">0.629</w:t>
            </w:r>
          </w:p>
        </w:tc>
        <w:tc>
          <w:tcPr>
            <w:tcW w:w="765" w:type="dxa"/>
            <w:tcBorders>
              <w:left w:val="nil"/>
              <w:right w:val="nil"/>
            </w:tcBorders>
            <w:vAlign w:val="center"/>
          </w:tcPr>
          <w:p>
            <w:pPr>
              <w:keepNext/>
              <w:spacing w:before="20" w:after="20"/>
              <w:jc w:val="center"/>
            </w:pPr>
            <w:r>
              <w:rPr>
                <w:sz w:val="14"/>
                <w:szCs w:val="14"/>
              </w:rPr>
              <w:t xml:space="preserve">0.613</w:t>
            </w:r>
          </w:p>
        </w:tc>
        <w:tc>
          <w:tcPr>
            <w:tcW w:w="765" w:type="dxa"/>
            <w:tcBorders>
              <w:left w:val="nil"/>
              <w:right w:val="nil"/>
            </w:tcBorders>
            <w:vAlign w:val="center"/>
          </w:tcPr>
          <w:p>
            <w:pPr>
              <w:keepNext/>
              <w:spacing w:before="20" w:after="20"/>
              <w:jc w:val="center"/>
            </w:pPr>
            <w:r>
              <w:rPr>
                <w:sz w:val="14"/>
                <w:szCs w:val="14"/>
              </w:rPr>
              <w:t xml:space="preserve">0.634</w:t>
            </w:r>
          </w:p>
        </w:tc>
        <w:tc>
          <w:tcPr>
            <w:tcW w:w="765" w:type="dxa"/>
            <w:tcBorders>
              <w:left w:val="nil"/>
              <w:right w:val="nil"/>
            </w:tcBorders>
            <w:vAlign w:val="center"/>
          </w:tcPr>
          <w:p>
            <w:pPr>
              <w:keepNext/>
              <w:spacing w:before="20" w:after="20"/>
              <w:jc w:val="center"/>
            </w:pPr>
            <w:r>
              <w:rPr>
                <w:sz w:val="14"/>
                <w:szCs w:val="14"/>
              </w:rPr>
              <w:t xml:space="preserve">0.438</w:t>
            </w:r>
          </w:p>
        </w:tc>
        <w:tc>
          <w:tcPr>
            <w:tcW w:w="765" w:type="dxa"/>
            <w:tcBorders>
              <w:left w:val="nil"/>
              <w:right w:val="nil"/>
            </w:tcBorders>
            <w:vAlign w:val="center"/>
          </w:tcPr>
          <w:p>
            <w:pPr>
              <w:keepNext/>
              <w:spacing w:before="20" w:after="20"/>
              <w:jc w:val="center"/>
            </w:pPr>
            <w:r>
              <w:rPr>
                <w:sz w:val="14"/>
                <w:szCs w:val="14"/>
              </w:rPr>
              <w:t xml:space="preserve">0.212</w:t>
            </w:r>
          </w:p>
        </w:tc>
      </w:tr>
      <w:tr>
        <w:trPr>
          <w:cantSplit/>
        </w:trPr>
        <w:tc>
          <w:tcPr>
            <w:tcW w:w="850" w:type="dxa"/>
            <w:tcBorders>
              <w:left w:val="nil"/>
              <w:right w:val="nil"/>
            </w:tcBorders>
            <w:vAlign w:val="center"/>
          </w:tcPr>
          <w:p>
            <w:pPr>
              <w:keepNext/>
              <w:spacing w:before="20" w:after="20"/>
              <w:jc w:val="left"/>
            </w:pPr>
            <w:r>
              <w:rPr>
                <w:sz w:val="14"/>
                <w:szCs w:val="14"/>
              </w:rPr>
              <w:t xml:space="preserve">A1</w:t>
            </w:r>
          </w:p>
        </w:tc>
        <w:tc>
          <w:tcPr>
            <w:tcW w:w="1190" w:type="dxa"/>
            <w:tcBorders>
              <w:left w:val="nil"/>
              <w:right w:val="nil"/>
            </w:tcBorders>
            <w:vAlign w:val="center"/>
          </w:tcPr>
          <w:p>
            <w:pPr>
              <w:keepNext/>
              <w:spacing w:before="20" w:after="20"/>
              <w:jc w:val="center"/>
            </w:pPr>
            <w:r>
              <w:rPr>
                <w:sz w:val="14"/>
                <w:szCs w:val="14"/>
              </w:rPr>
              <w:t xml:space="preserve">LR</w:t>
            </w:r>
          </w:p>
        </w:tc>
        <w:tc>
          <w:tcPr>
            <w:tcW w:w="1701" w:type="dxa"/>
            <w:tcBorders>
              <w:left w:val="nil"/>
              <w:right w:val="nil"/>
            </w:tcBorders>
            <w:vAlign w:val="center"/>
          </w:tcPr>
          <w:p>
            <w:pPr>
              <w:keepNext/>
              <w:spacing w:before="20" w:after="20"/>
              <w:jc w:val="center"/>
            </w:pPr>
            <w:r>
              <w:rPr>
                <w:sz w:val="14"/>
                <w:szCs w:val="14"/>
              </w:rPr>
              <w:t xml:space="preserve">0.803 (0.795–0.810)</w:t>
            </w:r>
          </w:p>
        </w:tc>
        <w:tc>
          <w:tcPr>
            <w:tcW w:w="765" w:type="dxa"/>
            <w:tcBorders>
              <w:left w:val="nil"/>
              <w:right w:val="nil"/>
            </w:tcBorders>
            <w:vAlign w:val="center"/>
          </w:tcPr>
          <w:p>
            <w:pPr>
              <w:keepNext/>
              <w:spacing w:before="20" w:after="20"/>
              <w:jc w:val="center"/>
            </w:pPr>
            <w:r>
              <w:rPr>
                <w:sz w:val="14"/>
                <w:szCs w:val="14"/>
              </w:rPr>
              <w:t xml:space="preserve">0.558</w:t>
            </w:r>
          </w:p>
        </w:tc>
        <w:tc>
          <w:tcPr>
            <w:tcW w:w="765" w:type="dxa"/>
            <w:tcBorders>
              <w:left w:val="nil"/>
              <w:right w:val="nil"/>
            </w:tcBorders>
            <w:vAlign w:val="center"/>
          </w:tcPr>
          <w:p>
            <w:pPr>
              <w:keepNext/>
              <w:spacing w:before="20" w:after="20"/>
              <w:jc w:val="center"/>
            </w:pPr>
            <w:r>
              <w:rPr>
                <w:sz w:val="14"/>
                <w:szCs w:val="14"/>
              </w:rPr>
              <w:t xml:space="preserve">0.721</w:t>
            </w:r>
          </w:p>
        </w:tc>
        <w:tc>
          <w:tcPr>
            <w:tcW w:w="765" w:type="dxa"/>
            <w:tcBorders>
              <w:left w:val="nil"/>
              <w:right w:val="nil"/>
            </w:tcBorders>
            <w:vAlign w:val="center"/>
          </w:tcPr>
          <w:p>
            <w:pPr>
              <w:keepNext/>
              <w:spacing w:before="20" w:after="20"/>
              <w:jc w:val="center"/>
            </w:pPr>
            <w:r>
              <w:rPr>
                <w:sz w:val="14"/>
                <w:szCs w:val="14"/>
              </w:rPr>
              <w:t xml:space="preserve">0.760</w:t>
            </w:r>
          </w:p>
        </w:tc>
        <w:tc>
          <w:tcPr>
            <w:tcW w:w="765" w:type="dxa"/>
            <w:tcBorders>
              <w:left w:val="nil"/>
              <w:right w:val="nil"/>
            </w:tcBorders>
            <w:vAlign w:val="center"/>
          </w:tcPr>
          <w:p>
            <w:pPr>
              <w:keepNext/>
              <w:spacing w:before="20" w:after="20"/>
              <w:jc w:val="center"/>
            </w:pPr>
            <w:r>
              <w:rPr>
                <w:sz w:val="14"/>
                <w:szCs w:val="14"/>
              </w:rPr>
              <w:t xml:space="preserve">0.709</w:t>
            </w:r>
          </w:p>
        </w:tc>
        <w:tc>
          <w:tcPr>
            <w:tcW w:w="765" w:type="dxa"/>
            <w:tcBorders>
              <w:left w:val="nil"/>
              <w:right w:val="nil"/>
            </w:tcBorders>
            <w:vAlign w:val="center"/>
          </w:tcPr>
          <w:p>
            <w:pPr>
              <w:keepNext/>
              <w:spacing w:before="20" w:after="20"/>
              <w:jc w:val="center"/>
            </w:pPr>
            <w:r>
              <w:rPr>
                <w:sz w:val="14"/>
                <w:szCs w:val="14"/>
              </w:rPr>
              <w:t xml:space="preserve">0.562</w:t>
            </w:r>
          </w:p>
        </w:tc>
        <w:tc>
          <w:tcPr>
            <w:tcW w:w="765" w:type="dxa"/>
            <w:tcBorders>
              <w:left w:val="nil"/>
              <w:right w:val="nil"/>
            </w:tcBorders>
            <w:vAlign w:val="center"/>
          </w:tcPr>
          <w:p>
            <w:pPr>
              <w:keepNext/>
              <w:spacing w:before="20" w:after="20"/>
              <w:jc w:val="center"/>
            </w:pPr>
            <w:r>
              <w:rPr>
                <w:sz w:val="14"/>
                <w:szCs w:val="14"/>
              </w:rPr>
              <w:t xml:space="preserve">0.406</w:t>
            </w:r>
          </w:p>
        </w:tc>
      </w:tr>
      <w:tr>
        <w:trPr>
          <w:cantSplit/>
        </w:trPr>
        <w:tc>
          <w:tcPr>
            <w:tcW w:w="850" w:type="dxa"/>
            <w:tcBorders>
              <w:left w:val="nil"/>
              <w:right w:val="nil"/>
            </w:tcBorders>
            <w:vAlign w:val="center"/>
          </w:tcPr>
          <w:p>
            <w:pPr>
              <w:keepNext/>
              <w:spacing w:before="20" w:after="20"/>
              <w:jc w:val="left"/>
            </w:pPr>
            <w:r>
              <w:rPr>
                <w:sz w:val="14"/>
                <w:szCs w:val="14"/>
              </w:rPr>
              <w:t xml:space="preserve">A1</w:t>
            </w:r>
          </w:p>
        </w:tc>
        <w:tc>
          <w:tcPr>
            <w:tcW w:w="1190" w:type="dxa"/>
            <w:tcBorders>
              <w:left w:val="nil"/>
              <w:right w:val="nil"/>
            </w:tcBorders>
            <w:vAlign w:val="center"/>
          </w:tcPr>
          <w:p>
            <w:pPr>
              <w:keepNext/>
              <w:spacing w:before="20" w:after="20"/>
              <w:jc w:val="center"/>
            </w:pPr>
            <w:r>
              <w:rPr>
                <w:sz w:val="14"/>
                <w:szCs w:val="14"/>
              </w:rPr>
              <w:t xml:space="preserve">RF</w:t>
            </w:r>
          </w:p>
        </w:tc>
        <w:tc>
          <w:tcPr>
            <w:tcW w:w="1701" w:type="dxa"/>
            <w:tcBorders>
              <w:left w:val="nil"/>
              <w:right w:val="nil"/>
            </w:tcBorders>
            <w:vAlign w:val="center"/>
          </w:tcPr>
          <w:p>
            <w:pPr>
              <w:keepNext/>
              <w:spacing w:before="20" w:after="20"/>
              <w:jc w:val="center"/>
            </w:pPr>
            <w:r>
              <w:rPr>
                <w:sz w:val="14"/>
                <w:szCs w:val="14"/>
              </w:rPr>
              <w:t xml:space="preserve">0.759 (0.750–0.767)</w:t>
            </w:r>
          </w:p>
        </w:tc>
        <w:tc>
          <w:tcPr>
            <w:tcW w:w="765" w:type="dxa"/>
            <w:tcBorders>
              <w:left w:val="nil"/>
              <w:right w:val="nil"/>
            </w:tcBorders>
            <w:vAlign w:val="center"/>
          </w:tcPr>
          <w:p>
            <w:pPr>
              <w:keepNext/>
              <w:spacing w:before="20" w:after="20"/>
              <w:jc w:val="center"/>
            </w:pPr>
            <w:r>
              <w:rPr>
                <w:sz w:val="14"/>
                <w:szCs w:val="14"/>
              </w:rPr>
              <w:t xml:space="preserve">0.483</w:t>
            </w:r>
          </w:p>
        </w:tc>
        <w:tc>
          <w:tcPr>
            <w:tcW w:w="765" w:type="dxa"/>
            <w:tcBorders>
              <w:left w:val="nil"/>
              <w:right w:val="nil"/>
            </w:tcBorders>
            <w:vAlign w:val="center"/>
          </w:tcPr>
          <w:p>
            <w:pPr>
              <w:keepNext/>
              <w:spacing w:before="20" w:after="20"/>
              <w:jc w:val="center"/>
            </w:pPr>
            <w:r>
              <w:rPr>
                <w:sz w:val="14"/>
                <w:szCs w:val="14"/>
              </w:rPr>
              <w:t xml:space="preserve">0.771</w:t>
            </w:r>
          </w:p>
        </w:tc>
        <w:tc>
          <w:tcPr>
            <w:tcW w:w="765" w:type="dxa"/>
            <w:tcBorders>
              <w:left w:val="nil"/>
              <w:right w:val="nil"/>
            </w:tcBorders>
            <w:vAlign w:val="center"/>
          </w:tcPr>
          <w:p>
            <w:pPr>
              <w:keepNext/>
              <w:spacing w:before="20" w:after="20"/>
              <w:jc w:val="center"/>
            </w:pPr>
            <w:r>
              <w:rPr>
                <w:sz w:val="14"/>
                <w:szCs w:val="14"/>
              </w:rPr>
              <w:t xml:space="preserve">0.377</w:t>
            </w:r>
          </w:p>
        </w:tc>
        <w:tc>
          <w:tcPr>
            <w:tcW w:w="765" w:type="dxa"/>
            <w:tcBorders>
              <w:left w:val="nil"/>
              <w:right w:val="nil"/>
            </w:tcBorders>
            <w:vAlign w:val="center"/>
          </w:tcPr>
          <w:p>
            <w:pPr>
              <w:keepNext/>
              <w:spacing w:before="20" w:after="20"/>
              <w:jc w:val="center"/>
            </w:pPr>
            <w:r>
              <w:rPr>
                <w:sz w:val="14"/>
                <w:szCs w:val="14"/>
              </w:rPr>
              <w:t xml:space="preserve">0.893</w:t>
            </w:r>
          </w:p>
        </w:tc>
        <w:tc>
          <w:tcPr>
            <w:tcW w:w="765" w:type="dxa"/>
            <w:tcBorders>
              <w:left w:val="nil"/>
              <w:right w:val="nil"/>
            </w:tcBorders>
            <w:vAlign w:val="center"/>
          </w:tcPr>
          <w:p>
            <w:pPr>
              <w:keepNext/>
              <w:spacing w:before="20" w:after="20"/>
              <w:jc w:val="center"/>
            </w:pPr>
            <w:r>
              <w:rPr>
                <w:sz w:val="14"/>
                <w:szCs w:val="14"/>
              </w:rPr>
              <w:t xml:space="preserve">0.437</w:t>
            </w:r>
          </w:p>
        </w:tc>
        <w:tc>
          <w:tcPr>
            <w:tcW w:w="765" w:type="dxa"/>
            <w:tcBorders>
              <w:left w:val="nil"/>
              <w:right w:val="nil"/>
            </w:tcBorders>
            <w:vAlign w:val="center"/>
          </w:tcPr>
          <w:p>
            <w:pPr>
              <w:keepNext/>
              <w:spacing w:before="20" w:after="20"/>
              <w:jc w:val="center"/>
            </w:pPr>
            <w:r>
              <w:rPr>
                <w:sz w:val="14"/>
                <w:szCs w:val="14"/>
              </w:rPr>
              <w:t xml:space="preserve">0.304</w:t>
            </w:r>
          </w:p>
        </w:tc>
      </w:tr>
      <w:tr>
        <w:trPr>
          <w:cantSplit/>
        </w:trPr>
        <w:tc>
          <w:tcPr>
            <w:tcW w:w="850" w:type="dxa"/>
            <w:tcBorders>
              <w:left w:val="nil"/>
              <w:right w:val="nil"/>
            </w:tcBorders>
            <w:vAlign w:val="center"/>
          </w:tcPr>
          <w:p>
            <w:pPr>
              <w:keepNext/>
              <w:spacing w:before="20" w:after="20"/>
              <w:jc w:val="left"/>
            </w:pPr>
            <w:r>
              <w:rPr>
                <w:sz w:val="14"/>
                <w:szCs w:val="14"/>
              </w:rPr>
              <w:t xml:space="preserve">A1</w:t>
            </w:r>
          </w:p>
        </w:tc>
        <w:tc>
          <w:tcPr>
            <w:tcW w:w="1190" w:type="dxa"/>
            <w:tcBorders>
              <w:left w:val="nil"/>
              <w:right w:val="nil"/>
            </w:tcBorders>
            <w:vAlign w:val="center"/>
          </w:tcPr>
          <w:p>
            <w:pPr>
              <w:keepNext/>
              <w:spacing w:before="20" w:after="20"/>
              <w:jc w:val="center"/>
            </w:pPr>
            <w:r>
              <w:rPr>
                <w:sz w:val="14"/>
                <w:szCs w:val="14"/>
              </w:rPr>
              <w:t xml:space="preserve">HGB</w:t>
            </w:r>
          </w:p>
        </w:tc>
        <w:tc>
          <w:tcPr>
            <w:tcW w:w="1701" w:type="dxa"/>
            <w:tcBorders>
              <w:left w:val="nil"/>
              <w:right w:val="nil"/>
            </w:tcBorders>
            <w:vAlign w:val="center"/>
          </w:tcPr>
          <w:p>
            <w:pPr>
              <w:keepNext/>
              <w:spacing w:before="20" w:after="20"/>
              <w:jc w:val="center"/>
            </w:pPr>
            <w:r>
              <w:rPr>
                <w:sz w:val="14"/>
                <w:szCs w:val="14"/>
              </w:rPr>
              <w:t xml:space="preserve">0.825 (0.818–0.833)</w:t>
            </w:r>
          </w:p>
        </w:tc>
        <w:tc>
          <w:tcPr>
            <w:tcW w:w="765" w:type="dxa"/>
            <w:tcBorders>
              <w:left w:val="nil"/>
              <w:right w:val="nil"/>
            </w:tcBorders>
            <w:vAlign w:val="center"/>
          </w:tcPr>
          <w:p>
            <w:pPr>
              <w:keepNext/>
              <w:spacing w:before="20" w:after="20"/>
              <w:jc w:val="center"/>
            </w:pPr>
            <w:r>
              <w:rPr>
                <w:sz w:val="14"/>
                <w:szCs w:val="14"/>
              </w:rPr>
              <w:t xml:space="preserve">0.620</w:t>
            </w:r>
          </w:p>
        </w:tc>
        <w:tc>
          <w:tcPr>
            <w:tcW w:w="765" w:type="dxa"/>
            <w:tcBorders>
              <w:left w:val="nil"/>
              <w:right w:val="nil"/>
            </w:tcBorders>
            <w:vAlign w:val="center"/>
          </w:tcPr>
          <w:p>
            <w:pPr>
              <w:keepNext/>
              <w:spacing w:before="20" w:after="20"/>
              <w:jc w:val="center"/>
            </w:pPr>
            <w:r>
              <w:rPr>
                <w:sz w:val="14"/>
                <w:szCs w:val="14"/>
              </w:rPr>
              <w:t xml:space="preserve">0.763</w:t>
            </w:r>
          </w:p>
        </w:tc>
        <w:tc>
          <w:tcPr>
            <w:tcW w:w="765" w:type="dxa"/>
            <w:tcBorders>
              <w:left w:val="nil"/>
              <w:right w:val="nil"/>
            </w:tcBorders>
            <w:vAlign w:val="center"/>
          </w:tcPr>
          <w:p>
            <w:pPr>
              <w:keepNext/>
              <w:spacing w:before="20" w:after="20"/>
              <w:jc w:val="center"/>
            </w:pPr>
            <w:r>
              <w:rPr>
                <w:sz w:val="14"/>
                <w:szCs w:val="14"/>
              </w:rPr>
              <w:t xml:space="preserve">0.734</w:t>
            </w:r>
          </w:p>
        </w:tc>
        <w:tc>
          <w:tcPr>
            <w:tcW w:w="765" w:type="dxa"/>
            <w:tcBorders>
              <w:left w:val="nil"/>
              <w:right w:val="nil"/>
            </w:tcBorders>
            <w:vAlign w:val="center"/>
          </w:tcPr>
          <w:p>
            <w:pPr>
              <w:keepNext/>
              <w:spacing w:before="20" w:after="20"/>
              <w:jc w:val="center"/>
            </w:pPr>
            <w:r>
              <w:rPr>
                <w:sz w:val="14"/>
                <w:szCs w:val="14"/>
              </w:rPr>
              <w:t xml:space="preserve">0.772</w:t>
            </w:r>
          </w:p>
        </w:tc>
        <w:tc>
          <w:tcPr>
            <w:tcW w:w="765" w:type="dxa"/>
            <w:tcBorders>
              <w:left w:val="nil"/>
              <w:right w:val="nil"/>
            </w:tcBorders>
            <w:vAlign w:val="center"/>
          </w:tcPr>
          <w:p>
            <w:pPr>
              <w:keepNext/>
              <w:spacing w:before="20" w:after="20"/>
              <w:jc w:val="center"/>
            </w:pPr>
            <w:r>
              <w:rPr>
                <w:sz w:val="14"/>
                <w:szCs w:val="14"/>
              </w:rPr>
              <w:t xml:space="preserve">0.594</w:t>
            </w:r>
          </w:p>
        </w:tc>
        <w:tc>
          <w:tcPr>
            <w:tcW w:w="765" w:type="dxa"/>
            <w:tcBorders>
              <w:left w:val="nil"/>
              <w:right w:val="nil"/>
            </w:tcBorders>
            <w:vAlign w:val="center"/>
          </w:tcPr>
          <w:p>
            <w:pPr>
              <w:keepNext/>
              <w:spacing w:before="20" w:after="20"/>
              <w:jc w:val="center"/>
            </w:pPr>
            <w:r>
              <w:rPr>
                <w:sz w:val="14"/>
                <w:szCs w:val="14"/>
              </w:rPr>
              <w:t xml:space="preserve">0.452</w:t>
            </w:r>
          </w:p>
        </w:tc>
      </w:tr>
      <w:tr>
        <w:trPr>
          <w:cantSplit/>
        </w:trPr>
        <w:tc>
          <w:tcPr>
            <w:tcW w:w="850" w:type="dxa"/>
            <w:tcBorders>
              <w:left w:val="nil"/>
              <w:right w:val="nil"/>
            </w:tcBorders>
            <w:vAlign w:val="center"/>
          </w:tcPr>
          <w:p>
            <w:pPr>
              <w:keepNext/>
              <w:spacing w:before="20" w:after="20"/>
              <w:jc w:val="left"/>
            </w:pPr>
            <w:r>
              <w:rPr>
                <w:sz w:val="14"/>
                <w:szCs w:val="14"/>
              </w:rPr>
              <w:t xml:space="preserve">A2</w:t>
            </w:r>
          </w:p>
        </w:tc>
        <w:tc>
          <w:tcPr>
            <w:tcW w:w="1190" w:type="dxa"/>
            <w:tcBorders>
              <w:left w:val="nil"/>
              <w:right w:val="nil"/>
            </w:tcBorders>
            <w:vAlign w:val="center"/>
          </w:tcPr>
          <w:p>
            <w:pPr>
              <w:keepNext/>
              <w:spacing w:before="20" w:after="20"/>
              <w:jc w:val="center"/>
            </w:pPr>
            <w:r>
              <w:rPr>
                <w:sz w:val="14"/>
                <w:szCs w:val="14"/>
              </w:rPr>
              <w:t xml:space="preserve">LR</w:t>
            </w:r>
          </w:p>
        </w:tc>
        <w:tc>
          <w:tcPr>
            <w:tcW w:w="1701" w:type="dxa"/>
            <w:tcBorders>
              <w:left w:val="nil"/>
              <w:right w:val="nil"/>
            </w:tcBorders>
            <w:vAlign w:val="center"/>
          </w:tcPr>
          <w:p>
            <w:pPr>
              <w:keepNext/>
              <w:spacing w:before="20" w:after="20"/>
              <w:jc w:val="center"/>
            </w:pPr>
            <w:r>
              <w:rPr>
                <w:sz w:val="14"/>
                <w:szCs w:val="14"/>
              </w:rPr>
              <w:t xml:space="preserve">0.951 (0.948–0.954)</w:t>
            </w:r>
          </w:p>
        </w:tc>
        <w:tc>
          <w:tcPr>
            <w:tcW w:w="765" w:type="dxa"/>
            <w:tcBorders>
              <w:left w:val="nil"/>
              <w:right w:val="nil"/>
            </w:tcBorders>
            <w:vAlign w:val="center"/>
          </w:tcPr>
          <w:p>
            <w:pPr>
              <w:keepNext/>
              <w:spacing w:before="20" w:after="20"/>
              <w:jc w:val="center"/>
            </w:pPr>
            <w:r>
              <w:rPr>
                <w:sz w:val="14"/>
                <w:szCs w:val="14"/>
              </w:rPr>
              <w:t xml:space="preserve">0.819</w:t>
            </w:r>
          </w:p>
        </w:tc>
        <w:tc>
          <w:tcPr>
            <w:tcW w:w="765" w:type="dxa"/>
            <w:tcBorders>
              <w:left w:val="nil"/>
              <w:right w:val="nil"/>
            </w:tcBorders>
            <w:vAlign w:val="center"/>
          </w:tcPr>
          <w:p>
            <w:pPr>
              <w:keepNext/>
              <w:spacing w:before="20" w:after="20"/>
              <w:jc w:val="center"/>
            </w:pPr>
            <w:r>
              <w:rPr>
                <w:sz w:val="14"/>
                <w:szCs w:val="14"/>
              </w:rPr>
              <w:t xml:space="preserve">0.882</w:t>
            </w:r>
          </w:p>
        </w:tc>
        <w:tc>
          <w:tcPr>
            <w:tcW w:w="765" w:type="dxa"/>
            <w:tcBorders>
              <w:left w:val="nil"/>
              <w:right w:val="nil"/>
            </w:tcBorders>
            <w:vAlign w:val="center"/>
          </w:tcPr>
          <w:p>
            <w:pPr>
              <w:keepNext/>
              <w:spacing w:before="20" w:after="20"/>
              <w:jc w:val="center"/>
            </w:pPr>
            <w:r>
              <w:rPr>
                <w:sz w:val="14"/>
                <w:szCs w:val="14"/>
              </w:rPr>
              <w:t xml:space="preserve">0.908</w:t>
            </w:r>
          </w:p>
        </w:tc>
        <w:tc>
          <w:tcPr>
            <w:tcW w:w="765" w:type="dxa"/>
            <w:tcBorders>
              <w:left w:val="nil"/>
              <w:right w:val="nil"/>
            </w:tcBorders>
            <w:vAlign w:val="center"/>
          </w:tcPr>
          <w:p>
            <w:pPr>
              <w:keepNext/>
              <w:spacing w:before="20" w:after="20"/>
              <w:jc w:val="center"/>
            </w:pPr>
            <w:r>
              <w:rPr>
                <w:sz w:val="14"/>
                <w:szCs w:val="14"/>
              </w:rPr>
              <w:t xml:space="preserve">0.874</w:t>
            </w:r>
          </w:p>
        </w:tc>
        <w:tc>
          <w:tcPr>
            <w:tcW w:w="765" w:type="dxa"/>
            <w:tcBorders>
              <w:left w:val="nil"/>
              <w:right w:val="nil"/>
            </w:tcBorders>
            <w:vAlign w:val="center"/>
          </w:tcPr>
          <w:p>
            <w:pPr>
              <w:keepNext/>
              <w:spacing w:before="20" w:after="20"/>
              <w:jc w:val="center"/>
            </w:pPr>
            <w:r>
              <w:rPr>
                <w:sz w:val="14"/>
                <w:szCs w:val="14"/>
              </w:rPr>
              <w:t xml:space="preserve">0.784</w:t>
            </w:r>
          </w:p>
        </w:tc>
        <w:tc>
          <w:tcPr>
            <w:tcW w:w="765" w:type="dxa"/>
            <w:tcBorders>
              <w:left w:val="nil"/>
              <w:right w:val="nil"/>
            </w:tcBorders>
            <w:vAlign w:val="center"/>
          </w:tcPr>
          <w:p>
            <w:pPr>
              <w:keepNext/>
              <w:spacing w:before="20" w:after="20"/>
              <w:jc w:val="center"/>
            </w:pPr>
            <w:r>
              <w:rPr>
                <w:sz w:val="14"/>
                <w:szCs w:val="14"/>
              </w:rPr>
              <w:t xml:space="preserve">0.718</w:t>
            </w:r>
          </w:p>
        </w:tc>
      </w:tr>
      <w:tr>
        <w:trPr>
          <w:cantSplit/>
        </w:trPr>
        <w:tc>
          <w:tcPr>
            <w:tcW w:w="850" w:type="dxa"/>
            <w:tcBorders>
              <w:left w:val="nil"/>
              <w:right w:val="nil"/>
            </w:tcBorders>
            <w:vAlign w:val="center"/>
          </w:tcPr>
          <w:p>
            <w:pPr>
              <w:keepNext/>
              <w:spacing w:before="20" w:after="20"/>
              <w:jc w:val="left"/>
            </w:pPr>
            <w:r>
              <w:rPr>
                <w:sz w:val="14"/>
                <w:szCs w:val="14"/>
              </w:rPr>
              <w:t xml:space="preserve">A2</w:t>
            </w:r>
          </w:p>
        </w:tc>
        <w:tc>
          <w:tcPr>
            <w:tcW w:w="1190" w:type="dxa"/>
            <w:tcBorders>
              <w:left w:val="nil"/>
              <w:right w:val="nil"/>
            </w:tcBorders>
            <w:vAlign w:val="center"/>
          </w:tcPr>
          <w:p>
            <w:pPr>
              <w:keepNext/>
              <w:spacing w:before="20" w:after="20"/>
              <w:jc w:val="center"/>
            </w:pPr>
            <w:r>
              <w:rPr>
                <w:sz w:val="14"/>
                <w:szCs w:val="14"/>
              </w:rPr>
              <w:t xml:space="preserve">RF</w:t>
            </w:r>
          </w:p>
        </w:tc>
        <w:tc>
          <w:tcPr>
            <w:tcW w:w="1701" w:type="dxa"/>
            <w:tcBorders>
              <w:left w:val="nil"/>
              <w:right w:val="nil"/>
            </w:tcBorders>
            <w:vAlign w:val="center"/>
          </w:tcPr>
          <w:p>
            <w:pPr>
              <w:keepNext/>
              <w:spacing w:before="20" w:after="20"/>
              <w:jc w:val="center"/>
            </w:pPr>
            <w:r>
              <w:rPr>
                <w:sz w:val="14"/>
                <w:szCs w:val="14"/>
              </w:rPr>
              <w:t xml:space="preserve">0.862 (0.856–0.868)</w:t>
            </w:r>
          </w:p>
        </w:tc>
        <w:tc>
          <w:tcPr>
            <w:tcW w:w="765" w:type="dxa"/>
            <w:tcBorders>
              <w:left w:val="nil"/>
              <w:right w:val="nil"/>
            </w:tcBorders>
            <w:vAlign w:val="center"/>
          </w:tcPr>
          <w:p>
            <w:pPr>
              <w:keepNext/>
              <w:spacing w:before="20" w:after="20"/>
              <w:jc w:val="center"/>
            </w:pPr>
            <w:r>
              <w:rPr>
                <w:sz w:val="14"/>
                <w:szCs w:val="14"/>
              </w:rPr>
              <w:t xml:space="preserve">0.647</w:t>
            </w:r>
          </w:p>
        </w:tc>
        <w:tc>
          <w:tcPr>
            <w:tcW w:w="765" w:type="dxa"/>
            <w:tcBorders>
              <w:left w:val="nil"/>
              <w:right w:val="nil"/>
            </w:tcBorders>
            <w:vAlign w:val="center"/>
          </w:tcPr>
          <w:p>
            <w:pPr>
              <w:keepNext/>
              <w:spacing w:before="20" w:after="20"/>
              <w:jc w:val="center"/>
            </w:pPr>
            <w:r>
              <w:rPr>
                <w:sz w:val="14"/>
                <w:szCs w:val="14"/>
              </w:rPr>
              <w:t xml:space="preserve">0.818</w:t>
            </w:r>
          </w:p>
        </w:tc>
        <w:tc>
          <w:tcPr>
            <w:tcW w:w="765" w:type="dxa"/>
            <w:tcBorders>
              <w:left w:val="nil"/>
              <w:right w:val="nil"/>
            </w:tcBorders>
            <w:vAlign w:val="center"/>
          </w:tcPr>
          <w:p>
            <w:pPr>
              <w:keepNext/>
              <w:spacing w:before="20" w:after="20"/>
              <w:jc w:val="center"/>
            </w:pPr>
            <w:r>
              <w:rPr>
                <w:sz w:val="14"/>
                <w:szCs w:val="14"/>
              </w:rPr>
              <w:t xml:space="preserve">0.536</w:t>
            </w:r>
          </w:p>
        </w:tc>
        <w:tc>
          <w:tcPr>
            <w:tcW w:w="765" w:type="dxa"/>
            <w:tcBorders>
              <w:left w:val="nil"/>
              <w:right w:val="nil"/>
            </w:tcBorders>
            <w:vAlign w:val="center"/>
          </w:tcPr>
          <w:p>
            <w:pPr>
              <w:keepNext/>
              <w:spacing w:before="20" w:after="20"/>
              <w:jc w:val="center"/>
            </w:pPr>
            <w:r>
              <w:rPr>
                <w:sz w:val="14"/>
                <w:szCs w:val="14"/>
              </w:rPr>
              <w:t xml:space="preserve">0.905</w:t>
            </w:r>
          </w:p>
        </w:tc>
        <w:tc>
          <w:tcPr>
            <w:tcW w:w="765" w:type="dxa"/>
            <w:tcBorders>
              <w:left w:val="nil"/>
              <w:right w:val="nil"/>
            </w:tcBorders>
            <w:vAlign w:val="center"/>
          </w:tcPr>
          <w:p>
            <w:pPr>
              <w:keepNext/>
              <w:spacing w:before="20" w:after="20"/>
              <w:jc w:val="center"/>
            </w:pPr>
            <w:r>
              <w:rPr>
                <w:sz w:val="14"/>
                <w:szCs w:val="14"/>
              </w:rPr>
              <w:t xml:space="preserve">0.582</w:t>
            </w:r>
          </w:p>
        </w:tc>
        <w:tc>
          <w:tcPr>
            <w:tcW w:w="765" w:type="dxa"/>
            <w:tcBorders>
              <w:left w:val="nil"/>
              <w:right w:val="nil"/>
            </w:tcBorders>
            <w:vAlign w:val="center"/>
          </w:tcPr>
          <w:p>
            <w:pPr>
              <w:keepNext/>
              <w:spacing w:before="20" w:after="20"/>
              <w:jc w:val="center"/>
            </w:pPr>
            <w:r>
              <w:rPr>
                <w:sz w:val="14"/>
                <w:szCs w:val="14"/>
              </w:rPr>
              <w:t xml:space="preserve">0.469</w:t>
            </w:r>
          </w:p>
        </w:tc>
      </w:tr>
      <w:tr>
        <w:trPr>
          <w:cantSplit/>
        </w:trPr>
        <w:tc>
          <w:tcPr>
            <w:tcW w:w="850" w:type="dxa"/>
            <w:tcBorders>
              <w:left w:val="nil"/>
              <w:right w:val="nil"/>
            </w:tcBorders>
            <w:vAlign w:val="center"/>
          </w:tcPr>
          <w:p>
            <w:pPr>
              <w:keepNext/>
              <w:spacing w:before="20" w:after="20"/>
              <w:jc w:val="left"/>
            </w:pPr>
            <w:r>
              <w:rPr>
                <w:sz w:val="14"/>
                <w:szCs w:val="14"/>
              </w:rPr>
              <w:t xml:space="preserve">A2</w:t>
            </w:r>
          </w:p>
        </w:tc>
        <w:tc>
          <w:tcPr>
            <w:tcW w:w="1190" w:type="dxa"/>
            <w:tcBorders>
              <w:left w:val="nil"/>
              <w:right w:val="nil"/>
            </w:tcBorders>
            <w:vAlign w:val="center"/>
          </w:tcPr>
          <w:p>
            <w:pPr>
              <w:keepNext/>
              <w:spacing w:before="20" w:after="20"/>
              <w:jc w:val="center"/>
            </w:pPr>
            <w:r>
              <w:rPr>
                <w:sz w:val="14"/>
                <w:szCs w:val="14"/>
              </w:rPr>
              <w:t xml:space="preserve">HGB</w:t>
            </w:r>
          </w:p>
        </w:tc>
        <w:tc>
          <w:tcPr>
            <w:tcW w:w="1701" w:type="dxa"/>
            <w:tcBorders>
              <w:left w:val="nil"/>
              <w:right w:val="nil"/>
            </w:tcBorders>
            <w:vAlign w:val="center"/>
          </w:tcPr>
          <w:p>
            <w:pPr>
              <w:keepNext/>
              <w:spacing w:before="20" w:after="20"/>
              <w:jc w:val="center"/>
            </w:pPr>
            <w:r>
              <w:rPr>
                <w:sz w:val="14"/>
                <w:szCs w:val="14"/>
              </w:rPr>
              <w:t xml:space="preserve">0.998 (0.998–0.999)</w:t>
            </w:r>
          </w:p>
        </w:tc>
        <w:tc>
          <w:tcPr>
            <w:tcW w:w="765" w:type="dxa"/>
            <w:tcBorders>
              <w:left w:val="nil"/>
              <w:right w:val="nil"/>
            </w:tcBorders>
            <w:vAlign w:val="center"/>
          </w:tcPr>
          <w:p>
            <w:pPr>
              <w:keepNext/>
              <w:spacing w:before="20" w:after="20"/>
              <w:jc w:val="center"/>
            </w:pPr>
            <w:r>
              <w:rPr>
                <w:sz w:val="14"/>
                <w:szCs w:val="14"/>
              </w:rPr>
              <w:t xml:space="preserve">0.995</w:t>
            </w:r>
          </w:p>
        </w:tc>
        <w:tc>
          <w:tcPr>
            <w:tcW w:w="765" w:type="dxa"/>
            <w:tcBorders>
              <w:left w:val="nil"/>
              <w:right w:val="nil"/>
            </w:tcBorders>
            <w:vAlign w:val="center"/>
          </w:tcPr>
          <w:p>
            <w:pPr>
              <w:keepNext/>
              <w:spacing w:before="20" w:after="20"/>
              <w:jc w:val="center"/>
            </w:pPr>
            <w:r>
              <w:rPr>
                <w:sz w:val="14"/>
                <w:szCs w:val="14"/>
              </w:rPr>
              <w:t xml:space="preserve">0.978</w:t>
            </w:r>
          </w:p>
        </w:tc>
        <w:tc>
          <w:tcPr>
            <w:tcW w:w="765" w:type="dxa"/>
            <w:tcBorders>
              <w:left w:val="nil"/>
              <w:right w:val="nil"/>
            </w:tcBorders>
            <w:vAlign w:val="center"/>
          </w:tcPr>
          <w:p>
            <w:pPr>
              <w:keepNext/>
              <w:spacing w:before="20" w:after="20"/>
              <w:jc w:val="center"/>
            </w:pPr>
            <w:r>
              <w:rPr>
                <w:sz w:val="14"/>
                <w:szCs w:val="14"/>
              </w:rPr>
              <w:t xml:space="preserve">0.980</w:t>
            </w:r>
          </w:p>
        </w:tc>
        <w:tc>
          <w:tcPr>
            <w:tcW w:w="765" w:type="dxa"/>
            <w:tcBorders>
              <w:left w:val="nil"/>
              <w:right w:val="nil"/>
            </w:tcBorders>
            <w:vAlign w:val="center"/>
          </w:tcPr>
          <w:p>
            <w:pPr>
              <w:keepNext/>
              <w:spacing w:before="20" w:after="20"/>
              <w:jc w:val="center"/>
            </w:pPr>
            <w:r>
              <w:rPr>
                <w:sz w:val="14"/>
                <w:szCs w:val="14"/>
              </w:rPr>
              <w:t xml:space="preserve">0.977</w:t>
            </w:r>
          </w:p>
        </w:tc>
        <w:tc>
          <w:tcPr>
            <w:tcW w:w="765" w:type="dxa"/>
            <w:tcBorders>
              <w:left w:val="nil"/>
              <w:right w:val="nil"/>
            </w:tcBorders>
            <w:vAlign w:val="center"/>
          </w:tcPr>
          <w:p>
            <w:pPr>
              <w:keepNext/>
              <w:spacing w:before="20" w:after="20"/>
              <w:jc w:val="center"/>
            </w:pPr>
            <w:r>
              <w:rPr>
                <w:sz w:val="14"/>
                <w:szCs w:val="14"/>
              </w:rPr>
              <w:t xml:space="preserve">0.954</w:t>
            </w:r>
          </w:p>
        </w:tc>
        <w:tc>
          <w:tcPr>
            <w:tcW w:w="765" w:type="dxa"/>
            <w:tcBorders>
              <w:left w:val="nil"/>
              <w:right w:val="nil"/>
            </w:tcBorders>
            <w:vAlign w:val="center"/>
          </w:tcPr>
          <w:p>
            <w:pPr>
              <w:keepNext/>
              <w:spacing w:before="20" w:after="20"/>
              <w:jc w:val="center"/>
            </w:pPr>
            <w:r>
              <w:rPr>
                <w:sz w:val="14"/>
                <w:szCs w:val="14"/>
              </w:rPr>
              <w:t xml:space="preserve">0.940</w:t>
            </w:r>
          </w:p>
        </w:tc>
      </w:tr>
      <w:tr>
        <w:trPr>
          <w:cantSplit/>
        </w:trPr>
        <w:tc>
          <w:tcPr>
            <w:tcW w:w="850" w:type="dxa"/>
            <w:tcBorders>
              <w:left w:val="nil"/>
              <w:right w:val="nil"/>
            </w:tcBorders>
            <w:vAlign w:val="center"/>
          </w:tcPr>
          <w:p>
            <w:pPr>
              <w:keepNext/>
              <w:spacing w:before="20" w:after="20"/>
              <w:jc w:val="left"/>
            </w:pPr>
            <w:r>
              <w:rPr>
                <w:sz w:val="14"/>
                <w:szCs w:val="14"/>
              </w:rPr>
              <w:t xml:space="preserve">L0</w:t>
            </w:r>
          </w:p>
        </w:tc>
        <w:tc>
          <w:tcPr>
            <w:tcW w:w="1190" w:type="dxa"/>
            <w:tcBorders>
              <w:left w:val="nil"/>
              <w:right w:val="nil"/>
            </w:tcBorders>
            <w:vAlign w:val="center"/>
          </w:tcPr>
          <w:p>
            <w:pPr>
              <w:keepNext/>
              <w:spacing w:before="20" w:after="20"/>
              <w:jc w:val="center"/>
            </w:pPr>
            <w:r>
              <w:rPr>
                <w:sz w:val="14"/>
                <w:szCs w:val="14"/>
              </w:rPr>
              <w:t xml:space="preserve">LR</w:t>
            </w:r>
          </w:p>
        </w:tc>
        <w:tc>
          <w:tcPr>
            <w:tcW w:w="1701" w:type="dxa"/>
            <w:tcBorders>
              <w:left w:val="nil"/>
              <w:right w:val="nil"/>
            </w:tcBorders>
            <w:vAlign w:val="center"/>
          </w:tcPr>
          <w:p>
            <w:pPr>
              <w:keepNext/>
              <w:spacing w:before="20" w:after="20"/>
              <w:jc w:val="center"/>
            </w:pPr>
            <w:r>
              <w:rPr>
                <w:sz w:val="14"/>
                <w:szCs w:val="14"/>
              </w:rPr>
              <w:t xml:space="preserve">0.910 (0.905–0.914)</w:t>
            </w:r>
          </w:p>
        </w:tc>
        <w:tc>
          <w:tcPr>
            <w:tcW w:w="765" w:type="dxa"/>
            <w:tcBorders>
              <w:left w:val="nil"/>
              <w:right w:val="nil"/>
            </w:tcBorders>
            <w:vAlign w:val="center"/>
          </w:tcPr>
          <w:p>
            <w:pPr>
              <w:keepNext/>
              <w:spacing w:before="20" w:after="20"/>
              <w:jc w:val="center"/>
            </w:pPr>
            <w:r>
              <w:rPr>
                <w:sz w:val="14"/>
                <w:szCs w:val="14"/>
              </w:rPr>
              <w:t xml:space="preserve">0.679</w:t>
            </w:r>
          </w:p>
        </w:tc>
        <w:tc>
          <w:tcPr>
            <w:tcW w:w="765" w:type="dxa"/>
            <w:tcBorders>
              <w:left w:val="nil"/>
              <w:right w:val="nil"/>
            </w:tcBorders>
            <w:vAlign w:val="center"/>
          </w:tcPr>
          <w:p>
            <w:pPr>
              <w:keepNext/>
              <w:spacing w:before="20" w:after="20"/>
              <w:jc w:val="center"/>
            </w:pPr>
            <w:r>
              <w:rPr>
                <w:sz w:val="14"/>
                <w:szCs w:val="14"/>
              </w:rPr>
              <w:t xml:space="preserve">0.830</w:t>
            </w:r>
          </w:p>
        </w:tc>
        <w:tc>
          <w:tcPr>
            <w:tcW w:w="765" w:type="dxa"/>
            <w:tcBorders>
              <w:left w:val="nil"/>
              <w:right w:val="nil"/>
            </w:tcBorders>
            <w:vAlign w:val="center"/>
          </w:tcPr>
          <w:p>
            <w:pPr>
              <w:keepNext/>
              <w:spacing w:before="20" w:after="20"/>
              <w:jc w:val="center"/>
            </w:pPr>
            <w:r>
              <w:rPr>
                <w:sz w:val="14"/>
                <w:szCs w:val="14"/>
              </w:rPr>
              <w:t xml:space="preserve">0.837</w:t>
            </w:r>
          </w:p>
        </w:tc>
        <w:tc>
          <w:tcPr>
            <w:tcW w:w="765" w:type="dxa"/>
            <w:tcBorders>
              <w:left w:val="nil"/>
              <w:right w:val="nil"/>
            </w:tcBorders>
            <w:vAlign w:val="center"/>
          </w:tcPr>
          <w:p>
            <w:pPr>
              <w:keepNext/>
              <w:spacing w:before="20" w:after="20"/>
              <w:jc w:val="center"/>
            </w:pPr>
            <w:r>
              <w:rPr>
                <w:sz w:val="14"/>
                <w:szCs w:val="14"/>
              </w:rPr>
              <w:t xml:space="preserve">0.828</w:t>
            </w:r>
          </w:p>
        </w:tc>
        <w:tc>
          <w:tcPr>
            <w:tcW w:w="765" w:type="dxa"/>
            <w:tcBorders>
              <w:left w:val="nil"/>
              <w:right w:val="nil"/>
            </w:tcBorders>
            <w:vAlign w:val="center"/>
          </w:tcPr>
          <w:p>
            <w:pPr>
              <w:keepNext/>
              <w:spacing w:before="20" w:after="20"/>
              <w:jc w:val="center"/>
            </w:pPr>
            <w:r>
              <w:rPr>
                <w:sz w:val="14"/>
                <w:szCs w:val="14"/>
              </w:rPr>
              <w:t xml:space="preserve">0.699</w:t>
            </w:r>
          </w:p>
        </w:tc>
        <w:tc>
          <w:tcPr>
            <w:tcW w:w="765" w:type="dxa"/>
            <w:tcBorders>
              <w:left w:val="nil"/>
              <w:right w:val="nil"/>
            </w:tcBorders>
            <w:vAlign w:val="center"/>
          </w:tcPr>
          <w:p>
            <w:pPr>
              <w:keepNext/>
              <w:spacing w:before="20" w:after="20"/>
              <w:jc w:val="center"/>
            </w:pPr>
            <w:r>
              <w:rPr>
                <w:sz w:val="14"/>
                <w:szCs w:val="14"/>
              </w:rPr>
              <w:t xml:space="preserve">0.600</w:t>
            </w:r>
          </w:p>
        </w:tc>
      </w:tr>
      <w:tr>
        <w:trPr>
          <w:cantSplit/>
        </w:trPr>
        <w:tc>
          <w:tcPr>
            <w:tcW w:w="850" w:type="dxa"/>
            <w:tcBorders>
              <w:left w:val="nil"/>
              <w:right w:val="nil"/>
            </w:tcBorders>
            <w:vAlign w:val="center"/>
          </w:tcPr>
          <w:p>
            <w:pPr>
              <w:keepNext/>
              <w:spacing w:before="20" w:after="20"/>
              <w:jc w:val="left"/>
            </w:pPr>
            <w:r>
              <w:rPr>
                <w:sz w:val="14"/>
                <w:szCs w:val="14"/>
              </w:rPr>
              <w:t xml:space="preserve">L0</w:t>
            </w:r>
          </w:p>
        </w:tc>
        <w:tc>
          <w:tcPr>
            <w:tcW w:w="1190" w:type="dxa"/>
            <w:tcBorders>
              <w:left w:val="nil"/>
              <w:right w:val="nil"/>
            </w:tcBorders>
            <w:vAlign w:val="center"/>
          </w:tcPr>
          <w:p>
            <w:pPr>
              <w:keepNext/>
              <w:spacing w:before="20" w:after="20"/>
              <w:jc w:val="center"/>
            </w:pPr>
            <w:r>
              <w:rPr>
                <w:sz w:val="14"/>
                <w:szCs w:val="14"/>
              </w:rPr>
              <w:t xml:space="preserve">RF</w:t>
            </w:r>
          </w:p>
        </w:tc>
        <w:tc>
          <w:tcPr>
            <w:tcW w:w="1701" w:type="dxa"/>
            <w:tcBorders>
              <w:left w:val="nil"/>
              <w:right w:val="nil"/>
            </w:tcBorders>
            <w:vAlign w:val="center"/>
          </w:tcPr>
          <w:p>
            <w:pPr>
              <w:keepNext/>
              <w:spacing w:before="20" w:after="20"/>
              <w:jc w:val="center"/>
            </w:pPr>
            <w:r>
              <w:rPr>
                <w:sz w:val="14"/>
                <w:szCs w:val="14"/>
              </w:rPr>
              <w:t xml:space="preserve">0.999 (0.999–0.999)</w:t>
            </w:r>
          </w:p>
        </w:tc>
        <w:tc>
          <w:tcPr>
            <w:tcW w:w="765" w:type="dxa"/>
            <w:tcBorders>
              <w:left w:val="nil"/>
              <w:right w:val="nil"/>
            </w:tcBorders>
            <w:vAlign w:val="center"/>
          </w:tcPr>
          <w:p>
            <w:pPr>
              <w:keepNext/>
              <w:spacing w:before="20" w:after="20"/>
              <w:jc w:val="center"/>
            </w:pPr>
            <w:r>
              <w:rPr>
                <w:sz w:val="14"/>
                <w:szCs w:val="14"/>
              </w:rPr>
              <w:t xml:space="preserve">0.997</w:t>
            </w:r>
          </w:p>
        </w:tc>
        <w:tc>
          <w:tcPr>
            <w:tcW w:w="765" w:type="dxa"/>
            <w:tcBorders>
              <w:left w:val="nil"/>
              <w:right w:val="nil"/>
            </w:tcBorders>
            <w:vAlign w:val="center"/>
          </w:tcPr>
          <w:p>
            <w:pPr>
              <w:keepNext/>
              <w:spacing w:before="20" w:after="20"/>
              <w:jc w:val="center"/>
            </w:pPr>
            <w:r>
              <w:rPr>
                <w:sz w:val="14"/>
                <w:szCs w:val="14"/>
              </w:rPr>
              <w:t xml:space="preserve">0.984</w:t>
            </w:r>
          </w:p>
        </w:tc>
        <w:tc>
          <w:tcPr>
            <w:tcW w:w="765" w:type="dxa"/>
            <w:tcBorders>
              <w:left w:val="nil"/>
              <w:right w:val="nil"/>
            </w:tcBorders>
            <w:vAlign w:val="center"/>
          </w:tcPr>
          <w:p>
            <w:pPr>
              <w:keepNext/>
              <w:spacing w:before="20" w:after="20"/>
              <w:jc w:val="center"/>
            </w:pPr>
            <w:r>
              <w:rPr>
                <w:sz w:val="14"/>
                <w:szCs w:val="14"/>
              </w:rPr>
              <w:t xml:space="preserve">0.982</w:t>
            </w:r>
          </w:p>
        </w:tc>
        <w:tc>
          <w:tcPr>
            <w:tcW w:w="765" w:type="dxa"/>
            <w:tcBorders>
              <w:left w:val="nil"/>
              <w:right w:val="nil"/>
            </w:tcBorders>
            <w:vAlign w:val="center"/>
          </w:tcPr>
          <w:p>
            <w:pPr>
              <w:keepNext/>
              <w:spacing w:before="20" w:after="20"/>
              <w:jc w:val="center"/>
            </w:pPr>
            <w:r>
              <w:rPr>
                <w:sz w:val="14"/>
                <w:szCs w:val="14"/>
              </w:rPr>
              <w:t xml:space="preserve">0.985</w:t>
            </w:r>
          </w:p>
        </w:tc>
        <w:tc>
          <w:tcPr>
            <w:tcW w:w="765" w:type="dxa"/>
            <w:tcBorders>
              <w:left w:val="nil"/>
              <w:right w:val="nil"/>
            </w:tcBorders>
            <w:vAlign w:val="center"/>
          </w:tcPr>
          <w:p>
            <w:pPr>
              <w:keepNext/>
              <w:spacing w:before="20" w:after="20"/>
              <w:jc w:val="center"/>
            </w:pPr>
            <w:r>
              <w:rPr>
                <w:sz w:val="14"/>
                <w:szCs w:val="14"/>
              </w:rPr>
              <w:t xml:space="preserve">0.966</w:t>
            </w:r>
          </w:p>
        </w:tc>
        <w:tc>
          <w:tcPr>
            <w:tcW w:w="765" w:type="dxa"/>
            <w:tcBorders>
              <w:left w:val="nil"/>
              <w:right w:val="nil"/>
            </w:tcBorders>
            <w:vAlign w:val="center"/>
          </w:tcPr>
          <w:p>
            <w:pPr>
              <w:keepNext/>
              <w:spacing w:before="20" w:after="20"/>
              <w:jc w:val="center"/>
            </w:pPr>
            <w:r>
              <w:rPr>
                <w:sz w:val="14"/>
                <w:szCs w:val="14"/>
              </w:rPr>
              <w:t xml:space="preserve">0.956</w:t>
            </w:r>
          </w:p>
        </w:tc>
      </w:tr>
      <w:tr>
        <w:trPr>
          <w:cantSplit/>
        </w:trPr>
        <w:tc>
          <w:tcPr>
            <w:tcW w:w="850" w:type="dxa"/>
            <w:tcBorders>
              <w:left w:val="nil"/>
              <w:bottom w:val="single" w:sz="8" w:space="0" w:color="000000"/>
              <w:right w:val="nil"/>
            </w:tcBorders>
            <w:vAlign w:val="center"/>
          </w:tcPr>
          <w:p>
            <w:pPr>
              <w:spacing w:before="20" w:after="20"/>
              <w:jc w:val="left"/>
            </w:pPr>
            <w:r>
              <w:rPr>
                <w:sz w:val="14"/>
                <w:szCs w:val="14"/>
              </w:rPr>
              <w:t xml:space="preserve">L0</w:t>
            </w:r>
          </w:p>
        </w:tc>
        <w:tc>
          <w:tcPr>
            <w:tcW w:w="1190" w:type="dxa"/>
            <w:tcBorders>
              <w:left w:val="nil"/>
              <w:bottom w:val="single" w:sz="8" w:space="0" w:color="000000"/>
              <w:right w:val="nil"/>
            </w:tcBorders>
            <w:vAlign w:val="center"/>
          </w:tcPr>
          <w:p>
            <w:pPr>
              <w:spacing w:before="20" w:after="20"/>
              <w:jc w:val="center"/>
            </w:pPr>
            <w:r>
              <w:rPr>
                <w:sz w:val="14"/>
                <w:szCs w:val="14"/>
              </w:rPr>
              <w:t xml:space="preserve">HGB</w:t>
            </w:r>
          </w:p>
        </w:tc>
        <w:tc>
          <w:tcPr>
            <w:tcW w:w="1701" w:type="dxa"/>
            <w:tcBorders>
              <w:left w:val="nil"/>
              <w:bottom w:val="single" w:sz="8" w:space="0" w:color="000000"/>
              <w:right w:val="nil"/>
            </w:tcBorders>
            <w:vAlign w:val="center"/>
          </w:tcPr>
          <w:p>
            <w:pPr>
              <w:spacing w:before="20" w:after="20"/>
              <w:jc w:val="center"/>
            </w:pPr>
            <w:r>
              <w:rPr>
                <w:sz w:val="14"/>
                <w:szCs w:val="14"/>
              </w:rPr>
              <w:t xml:space="preserve">0.999 (0.998–0.999)</w:t>
            </w:r>
          </w:p>
        </w:tc>
        <w:tc>
          <w:tcPr>
            <w:tcW w:w="765" w:type="dxa"/>
            <w:tcBorders>
              <w:left w:val="nil"/>
              <w:bottom w:val="single" w:sz="8" w:space="0" w:color="000000"/>
              <w:right w:val="nil"/>
            </w:tcBorders>
            <w:vAlign w:val="center"/>
          </w:tcPr>
          <w:p>
            <w:pPr>
              <w:spacing w:before="20" w:after="20"/>
              <w:jc w:val="center"/>
            </w:pPr>
            <w:r>
              <w:rPr>
                <w:sz w:val="14"/>
                <w:szCs w:val="14"/>
              </w:rPr>
              <w:t xml:space="preserve">0.996</w:t>
            </w:r>
          </w:p>
        </w:tc>
        <w:tc>
          <w:tcPr>
            <w:tcW w:w="765" w:type="dxa"/>
            <w:tcBorders>
              <w:left w:val="nil"/>
              <w:bottom w:val="single" w:sz="8" w:space="0" w:color="000000"/>
              <w:right w:val="nil"/>
            </w:tcBorders>
            <w:vAlign w:val="center"/>
          </w:tcPr>
          <w:p>
            <w:pPr>
              <w:spacing w:before="20" w:after="20"/>
              <w:jc w:val="center"/>
            </w:pPr>
            <w:r>
              <w:rPr>
                <w:sz w:val="14"/>
                <w:szCs w:val="14"/>
              </w:rPr>
              <w:t xml:space="preserve">0.978</w:t>
            </w:r>
          </w:p>
        </w:tc>
        <w:tc>
          <w:tcPr>
            <w:tcW w:w="765" w:type="dxa"/>
            <w:tcBorders>
              <w:left w:val="nil"/>
              <w:bottom w:val="single" w:sz="8" w:space="0" w:color="000000"/>
              <w:right w:val="nil"/>
            </w:tcBorders>
            <w:vAlign w:val="center"/>
          </w:tcPr>
          <w:p>
            <w:pPr>
              <w:spacing w:before="20" w:after="20"/>
              <w:jc w:val="center"/>
            </w:pPr>
            <w:r>
              <w:rPr>
                <w:sz w:val="14"/>
                <w:szCs w:val="14"/>
              </w:rPr>
              <w:t xml:space="preserve">0.983</w:t>
            </w:r>
          </w:p>
        </w:tc>
        <w:tc>
          <w:tcPr>
            <w:tcW w:w="765" w:type="dxa"/>
            <w:tcBorders>
              <w:left w:val="nil"/>
              <w:bottom w:val="single" w:sz="8" w:space="0" w:color="000000"/>
              <w:right w:val="nil"/>
            </w:tcBorders>
            <w:vAlign w:val="center"/>
          </w:tcPr>
          <w:p>
            <w:pPr>
              <w:spacing w:before="20" w:after="20"/>
              <w:jc w:val="center"/>
            </w:pPr>
            <w:r>
              <w:rPr>
                <w:sz w:val="14"/>
                <w:szCs w:val="14"/>
              </w:rPr>
              <w:t xml:space="preserve">0.977</w:t>
            </w:r>
          </w:p>
        </w:tc>
        <w:tc>
          <w:tcPr>
            <w:tcW w:w="765" w:type="dxa"/>
            <w:tcBorders>
              <w:left w:val="nil"/>
              <w:bottom w:val="single" w:sz="8" w:space="0" w:color="000000"/>
              <w:right w:val="nil"/>
            </w:tcBorders>
            <w:vAlign w:val="center"/>
          </w:tcPr>
          <w:p>
            <w:pPr>
              <w:spacing w:before="20" w:after="20"/>
              <w:jc w:val="center"/>
            </w:pPr>
            <w:r>
              <w:rPr>
                <w:sz w:val="14"/>
                <w:szCs w:val="14"/>
              </w:rPr>
              <w:t xml:space="preserve">0.955</w:t>
            </w:r>
          </w:p>
        </w:tc>
        <w:tc>
          <w:tcPr>
            <w:tcW w:w="765" w:type="dxa"/>
            <w:tcBorders>
              <w:left w:val="nil"/>
              <w:bottom w:val="single" w:sz="8" w:space="0" w:color="000000"/>
              <w:right w:val="nil"/>
            </w:tcBorders>
            <w:vAlign w:val="center"/>
          </w:tcPr>
          <w:p>
            <w:pPr>
              <w:spacing w:before="20" w:after="20"/>
              <w:jc w:val="center"/>
            </w:pPr>
            <w:r>
              <w:rPr>
                <w:sz w:val="14"/>
                <w:szCs w:val="14"/>
              </w:rPr>
              <w:t xml:space="preserve">0.941</w:t>
            </w:r>
          </w:p>
        </w:tc>
      </w:tr>
    </w:tbl>
    <w:p/>
    <w:p>
      <w:pPr>
        <w:keepNext/>
        <w:spacing w:before="180" w:after="60"/>
      </w:pPr>
      <w:r>
        <w:rPr>
          <w:b/>
          <w:bCs/>
        </w:rPr>
        <w:t xml:space="preserve">3.2. Magnitude of anthropometric leakage</w:t>
      </w:r>
    </w:p>
    <w:p>
      <w:pPr>
        <w:ind w:firstLine="720"/>
        <w:jc w:val="both"/>
      </w:pPr>
      <w:r>
        <w:t xml:space="preserve">Adding anthropometric variables transformed the same models into near-perfect classifiers (Figure 2). With current weight only (A1), AUC increased by 0.155 for HGB (95% CI 0.146–0.164), 0.147 for LR, and 0.105 for RF, even though weight is not part of the HAZ formula; weight carries information about height through body size. With all anthropometry (A2), HGB reached an AUC of 0.9983 (0.9980–0.9986), accuracy of 97.8%, recall of 98.0%, specificity of 97.7%, F1 of 0.954, and MCC of 0.940—figures that closely resemble the 94%–98% accuracies and AUC near 1 reported in previous studies [12]–[14]. The paired AUC gain of A2 over B was 0.328 (0.320–0.337) for HGB, 0.295 for LR, and 0.209 for RF; in no bootstrap resample was the gain zero or negative (p &lt; 0.001). Expressed with (2), leakage inflated discrimination above chance by 193% for HGB (Table 3).</w:t>
      </w:r>
    </w:p>
    <w:p>
      <w:pPr>
        <w:keepNext/>
        <w:spacing w:before="120"/>
        <w:jc w:val="center"/>
      </w:pPr>
      <w:r>
        <w:drawing>
          <wp:inline distT="0" distB="0" distL="0" distR="0">
            <wp:extent cx="5760000" cy="1864275"/>
            <wp:docPr id="202" name="Fig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main_result_roc.png"/>
                    <pic:cNvPicPr/>
                  </pic:nvPicPr>
                  <pic:blipFill>
                    <a:blip r:embed="rId202"/>
                    <a:stretch>
                      <a:fillRect/>
                    </a:stretch>
                  </pic:blipFill>
                  <pic:spPr>
                    <a:xfrm>
                      <a:off x="0" y="0"/>
                      <a:ext cx="5760000" cy="1864275"/>
                    </a:xfrm>
                    <a:prstGeom prst="rect">
                      <a:avLst/>
                    </a:prstGeom>
                  </pic:spPr>
                </pic:pic>
              </a:graphicData>
            </a:graphic>
          </wp:inline>
        </w:drawing>
      </w:r>
    </w:p>
    <w:p>
      <w:pPr>
        <w:spacing w:before="60" w:after="120"/>
        <w:jc w:val="center"/>
      </w:pPr>
      <w:r>
        <w:t xml:space="preserve">Figure 2. ROC curves on the household-grouped test set for (a) logistic regression, (b) random forest, and (c) gradient boosting under the four feature scenarios</w:t>
      </w:r>
    </w:p>
    <w:p>
      <w:pPr>
        <w:ind w:firstLine="720"/>
        <w:jc w:val="both"/>
      </w:pPr>
      <w:r>
        <w:t xml:space="preserve">Scenario L0 demonstrates that this performance requires no determinant at all. With only height, age, and sex, RF achieved an AUC of 0.9989 and accuracy of 98.4%, and HGB an AUC of 0.9986—statistically indistinguishable from the full leaky model. The model has simply learned the WHO reference curve. Two model-specific results deserve comment. LR in L0 (AUC 0.910) is lower than tree ensembles because the relation between height and the stunting boundary is non-linear in age; LR can only approximate it, which is why its A2 performance (0.951) is also below that of HGB. RF in A2 (0.862) performs worse than RF in L0, most likely because square-root feature sampling rarely offers height among 123 candidate variables at each split. Both observations show that the reported performance of a leaky model depends on how efficiently the algorithm can reconstruct the label, not on its ability to capture risk.</w:t>
      </w:r>
    </w:p>
    <w:p>
      <w:pPr>
        <w:keepNext/>
        <w:spacing w:before="120"/>
        <w:jc w:val="center"/>
      </w:pPr>
      <w:r>
        <w:drawing>
          <wp:inline distT="0" distB="0" distL="0" distR="0">
            <wp:extent cx="4680000" cy="2417273"/>
            <wp:docPr id="203" name="Fig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auc_by_model_scenario.png"/>
                    <pic:cNvPicPr/>
                  </pic:nvPicPr>
                  <pic:blipFill>
                    <a:blip r:embed="rId203"/>
                    <a:stretch>
                      <a:fillRect/>
                    </a:stretch>
                  </pic:blipFill>
                  <pic:spPr>
                    <a:xfrm>
                      <a:off x="0" y="0"/>
                      <a:ext cx="4680000" cy="2417273"/>
                    </a:xfrm>
                    <a:prstGeom prst="rect">
                      <a:avLst/>
                    </a:prstGeom>
                  </pic:spPr>
                </pic:pic>
              </a:graphicData>
            </a:graphic>
          </wp:inline>
        </w:drawing>
      </w:r>
    </w:p>
    <w:p>
      <w:pPr>
        <w:spacing w:before="60" w:after="120"/>
        <w:jc w:val="center"/>
      </w:pPr>
      <w:r>
        <w:t xml:space="preserve">Figure 3. AUC with 95% bootstrap confidence intervals for each algorithm and feature scenario; the dashed line marks chance level</w:t>
      </w:r>
    </w:p>
    <w:p>
      <w:pPr>
        <w:keepNext/>
        <w:spacing w:before="120" w:after="60"/>
        <w:jc w:val="center"/>
      </w:pPr>
      <w:r>
        <w:t xml:space="preserve">Table 3. Paired bootstrap AUC gain over scenario B and household-grouped five-fold cross-validation (HGB)</w:t>
      </w:r>
    </w:p>
    <w:tbl>
      <w:tblPr>
        <w:tblW w:w="8334" w:type="dxa"/>
        <w:jc w:val="center"/>
        <w:tblLayout w:type="fixed"/>
        <w:tblCellMar>
          <w:left w:w="57" w:type="dxa"/>
          <w:right w:w="57" w:type="dxa"/>
        </w:tblCellMar>
      </w:tblPr>
      <w:tblGrid>
        <w:gridCol w:w="1134"/>
        <w:gridCol w:w="1814"/>
        <w:gridCol w:w="1871"/>
        <w:gridCol w:w="1474"/>
        <w:gridCol w:w="2041"/>
      </w:tblGrid>
      <w:tr>
        <w:trPr>
          <w:cantSplit/>
        </w:trPr>
        <w:tc>
          <w:tcPr>
            <w:tcW w:w="1134" w:type="dxa"/>
            <w:tcBorders>
              <w:top w:val="single" w:sz="8" w:space="0" w:color="000000"/>
              <w:left w:val="nil"/>
              <w:bottom w:val="single" w:sz="4" w:space="0" w:color="000000"/>
              <w:right w:val="nil"/>
            </w:tcBorders>
            <w:vAlign w:val="center"/>
          </w:tcPr>
          <w:p>
            <w:pPr>
              <w:keepNext/>
              <w:spacing w:before="20" w:after="20"/>
              <w:jc w:val="left"/>
            </w:pPr>
            <w:r>
              <w:rPr>
                <w:b/>
                <w:bCs/>
                <w:sz w:val="16"/>
                <w:szCs w:val="16"/>
              </w:rPr>
              <w:t xml:space="preserve">Comparison</w:t>
            </w:r>
          </w:p>
        </w:tc>
        <w:tc>
          <w:tcPr>
            <w:tcW w:w="1814" w:type="dxa"/>
            <w:tcBorders>
              <w:top w:val="single" w:sz="8" w:space="0" w:color="000000"/>
              <w:left w:val="nil"/>
              <w:bottom w:val="single" w:sz="4" w:space="0" w:color="000000"/>
              <w:right w:val="nil"/>
            </w:tcBorders>
            <w:vAlign w:val="center"/>
          </w:tcPr>
          <w:p>
            <w:pPr>
              <w:keepNext/>
              <w:spacing w:before="20" w:after="20"/>
              <w:jc w:val="center"/>
            </w:pPr>
            <w:r>
              <w:rPr>
                <w:b/>
                <w:bCs/>
                <w:sz w:val="16"/>
                <w:szCs w:val="16"/>
              </w:rPr>
              <w:t xml:space="preserve">ΔAUC LR (95% CI)</w:t>
            </w:r>
          </w:p>
        </w:tc>
        <w:tc>
          <w:tcPr>
            <w:tcW w:w="1871" w:type="dxa"/>
            <w:tcBorders>
              <w:top w:val="single" w:sz="8" w:space="0" w:color="000000"/>
              <w:left w:val="nil"/>
              <w:bottom w:val="single" w:sz="4" w:space="0" w:color="000000"/>
              <w:right w:val="nil"/>
            </w:tcBorders>
            <w:vAlign w:val="center"/>
          </w:tcPr>
          <w:p>
            <w:pPr>
              <w:keepNext/>
              <w:spacing w:before="20" w:after="20"/>
              <w:jc w:val="center"/>
            </w:pPr>
            <w:r>
              <w:rPr>
                <w:b/>
                <w:bCs/>
                <w:sz w:val="16"/>
                <w:szCs w:val="16"/>
              </w:rPr>
              <w:t xml:space="preserve">ΔAUC RF (95% CI)</w:t>
            </w:r>
          </w:p>
        </w:tc>
        <w:tc>
          <w:tcPr>
            <w:tcW w:w="1474" w:type="dxa"/>
            <w:tcBorders>
              <w:top w:val="single" w:sz="8" w:space="0" w:color="000000"/>
              <w:left w:val="nil"/>
              <w:bottom w:val="single" w:sz="4" w:space="0" w:color="000000"/>
              <w:right w:val="nil"/>
            </w:tcBorders>
            <w:vAlign w:val="center"/>
          </w:tcPr>
          <w:p>
            <w:pPr>
              <w:keepNext/>
              <w:spacing w:before="20" w:after="20"/>
              <w:jc w:val="center"/>
            </w:pPr>
            <w:r>
              <w:rPr>
                <w:b/>
                <w:bCs/>
                <w:sz w:val="16"/>
                <w:szCs w:val="16"/>
              </w:rPr>
              <w:t xml:space="preserve">ΔAUC HGB (95% CI)</w:t>
            </w:r>
          </w:p>
        </w:tc>
        <w:tc>
          <w:tcPr>
            <w:tcW w:w="2041" w:type="dxa"/>
            <w:tcBorders>
              <w:top w:val="single" w:sz="8" w:space="0" w:color="000000"/>
              <w:left w:val="nil"/>
              <w:bottom w:val="single" w:sz="4" w:space="0" w:color="000000"/>
              <w:right w:val="nil"/>
            </w:tcBorders>
            <w:vAlign w:val="center"/>
          </w:tcPr>
          <w:p>
            <w:pPr>
              <w:keepNext/>
              <w:spacing w:before="20" w:after="20"/>
              <w:jc w:val="center"/>
            </w:pPr>
            <w:r>
              <w:rPr>
                <w:b/>
                <w:bCs/>
                <w:sz w:val="16"/>
                <w:szCs w:val="16"/>
              </w:rPr>
              <w:t xml:space="preserve">HGB 5-fold CV AUC (mean ± SD)</w:t>
            </w:r>
          </w:p>
        </w:tc>
      </w:tr>
      <w:tr>
        <w:trPr>
          <w:cantSplit/>
        </w:trPr>
        <w:tc>
          <w:tcPr>
            <w:tcW w:w="1134" w:type="dxa"/>
            <w:tcBorders>
              <w:left w:val="nil"/>
              <w:right w:val="nil"/>
            </w:tcBorders>
            <w:vAlign w:val="center"/>
          </w:tcPr>
          <w:p>
            <w:pPr>
              <w:keepNext/>
              <w:spacing w:before="20" w:after="20"/>
              <w:jc w:val="left"/>
            </w:pPr>
            <w:r>
              <w:rPr>
                <w:sz w:val="16"/>
                <w:szCs w:val="16"/>
              </w:rPr>
              <w:t xml:space="preserve">B (reference)</w:t>
            </w:r>
          </w:p>
        </w:tc>
        <w:tc>
          <w:tcPr>
            <w:tcW w:w="1814" w:type="dxa"/>
            <w:tcBorders>
              <w:left w:val="nil"/>
              <w:right w:val="nil"/>
            </w:tcBorders>
            <w:vAlign w:val="center"/>
          </w:tcPr>
          <w:p>
            <w:pPr>
              <w:keepNext/>
              <w:spacing w:before="20" w:after="20"/>
              <w:jc w:val="center"/>
            </w:pPr>
            <w:r>
              <w:rPr>
                <w:sz w:val="16"/>
                <w:szCs w:val="16"/>
              </w:rPr>
              <w:t xml:space="preserve">–</w:t>
            </w:r>
          </w:p>
        </w:tc>
        <w:tc>
          <w:tcPr>
            <w:tcW w:w="1871" w:type="dxa"/>
            <w:tcBorders>
              <w:left w:val="nil"/>
              <w:right w:val="nil"/>
            </w:tcBorders>
            <w:vAlign w:val="center"/>
          </w:tcPr>
          <w:p>
            <w:pPr>
              <w:keepNext/>
              <w:spacing w:before="20" w:after="20"/>
              <w:jc w:val="center"/>
            </w:pPr>
            <w:r>
              <w:rPr>
                <w:sz w:val="16"/>
                <w:szCs w:val="16"/>
              </w:rPr>
              <w:t xml:space="preserve">–</w:t>
            </w:r>
          </w:p>
        </w:tc>
        <w:tc>
          <w:tcPr>
            <w:tcW w:w="1474" w:type="dxa"/>
            <w:tcBorders>
              <w:left w:val="nil"/>
              <w:right w:val="nil"/>
            </w:tcBorders>
            <w:vAlign w:val="center"/>
          </w:tcPr>
          <w:p>
            <w:pPr>
              <w:keepNext/>
              <w:spacing w:before="20" w:after="20"/>
              <w:jc w:val="center"/>
            </w:pPr>
            <w:r>
              <w:rPr>
                <w:sz w:val="16"/>
                <w:szCs w:val="16"/>
              </w:rPr>
              <w:t xml:space="preserve">–</w:t>
            </w:r>
          </w:p>
        </w:tc>
        <w:tc>
          <w:tcPr>
            <w:tcW w:w="2041" w:type="dxa"/>
            <w:tcBorders>
              <w:left w:val="nil"/>
              <w:right w:val="nil"/>
            </w:tcBorders>
            <w:vAlign w:val="center"/>
          </w:tcPr>
          <w:p>
            <w:pPr>
              <w:keepNext/>
              <w:spacing w:before="20" w:after="20"/>
              <w:jc w:val="center"/>
            </w:pPr>
            <w:r>
              <w:rPr>
                <w:sz w:val="16"/>
                <w:szCs w:val="16"/>
              </w:rPr>
              <w:t xml:space="preserve">0.671 ± 0.005</w:t>
            </w:r>
          </w:p>
        </w:tc>
      </w:tr>
      <w:tr>
        <w:trPr>
          <w:cantSplit/>
        </w:trPr>
        <w:tc>
          <w:tcPr>
            <w:tcW w:w="1134" w:type="dxa"/>
            <w:tcBorders>
              <w:left w:val="nil"/>
              <w:right w:val="nil"/>
            </w:tcBorders>
            <w:vAlign w:val="center"/>
          </w:tcPr>
          <w:p>
            <w:pPr>
              <w:keepNext/>
              <w:spacing w:before="20" w:after="20"/>
              <w:jc w:val="left"/>
            </w:pPr>
            <w:r>
              <w:rPr>
                <w:sz w:val="16"/>
                <w:szCs w:val="16"/>
              </w:rPr>
              <w:t xml:space="preserve">A1 vs B</w:t>
            </w:r>
          </w:p>
        </w:tc>
        <w:tc>
          <w:tcPr>
            <w:tcW w:w="1814" w:type="dxa"/>
            <w:tcBorders>
              <w:left w:val="nil"/>
              <w:right w:val="nil"/>
            </w:tcBorders>
            <w:vAlign w:val="center"/>
          </w:tcPr>
          <w:p>
            <w:pPr>
              <w:keepNext/>
              <w:spacing w:before="20" w:after="20"/>
              <w:jc w:val="center"/>
            </w:pPr>
            <w:r>
              <w:rPr>
                <w:sz w:val="16"/>
                <w:szCs w:val="16"/>
              </w:rPr>
              <w:t xml:space="preserve">0.147 (0.139–0.155)</w:t>
            </w:r>
          </w:p>
        </w:tc>
        <w:tc>
          <w:tcPr>
            <w:tcW w:w="1871" w:type="dxa"/>
            <w:tcBorders>
              <w:left w:val="nil"/>
              <w:right w:val="nil"/>
            </w:tcBorders>
            <w:vAlign w:val="center"/>
          </w:tcPr>
          <w:p>
            <w:pPr>
              <w:keepNext/>
              <w:spacing w:before="20" w:after="20"/>
              <w:jc w:val="center"/>
            </w:pPr>
            <w:r>
              <w:rPr>
                <w:sz w:val="16"/>
                <w:szCs w:val="16"/>
              </w:rPr>
              <w:t xml:space="preserve">0.105 (0.098–0.111)</w:t>
            </w:r>
          </w:p>
        </w:tc>
        <w:tc>
          <w:tcPr>
            <w:tcW w:w="1474" w:type="dxa"/>
            <w:tcBorders>
              <w:left w:val="nil"/>
              <w:right w:val="nil"/>
            </w:tcBorders>
            <w:vAlign w:val="center"/>
          </w:tcPr>
          <w:p>
            <w:pPr>
              <w:keepNext/>
              <w:spacing w:before="20" w:after="20"/>
              <w:jc w:val="center"/>
            </w:pPr>
            <w:r>
              <w:rPr>
                <w:sz w:val="16"/>
                <w:szCs w:val="16"/>
              </w:rPr>
              <w:t xml:space="preserve">0.155 (0.146–0.164)</w:t>
            </w:r>
          </w:p>
        </w:tc>
        <w:tc>
          <w:tcPr>
            <w:tcW w:w="2041" w:type="dxa"/>
            <w:tcBorders>
              <w:left w:val="nil"/>
              <w:right w:val="nil"/>
            </w:tcBorders>
            <w:vAlign w:val="center"/>
          </w:tcPr>
          <w:p>
            <w:pPr>
              <w:keepNext/>
              <w:spacing w:before="20" w:after="20"/>
              <w:jc w:val="center"/>
            </w:pPr>
            <w:r>
              <w:rPr>
                <w:sz w:val="16"/>
                <w:szCs w:val="16"/>
              </w:rPr>
              <w:t xml:space="preserve">0.822 ± 0.002</w:t>
            </w:r>
          </w:p>
        </w:tc>
      </w:tr>
      <w:tr>
        <w:trPr>
          <w:cantSplit/>
        </w:trPr>
        <w:tc>
          <w:tcPr>
            <w:tcW w:w="1134" w:type="dxa"/>
            <w:tcBorders>
              <w:left w:val="nil"/>
              <w:right w:val="nil"/>
            </w:tcBorders>
            <w:vAlign w:val="center"/>
          </w:tcPr>
          <w:p>
            <w:pPr>
              <w:keepNext/>
              <w:spacing w:before="20" w:after="20"/>
              <w:jc w:val="left"/>
            </w:pPr>
            <w:r>
              <w:rPr>
                <w:sz w:val="16"/>
                <w:szCs w:val="16"/>
              </w:rPr>
              <w:t xml:space="preserve">A2 vs B</w:t>
            </w:r>
          </w:p>
        </w:tc>
        <w:tc>
          <w:tcPr>
            <w:tcW w:w="1814" w:type="dxa"/>
            <w:tcBorders>
              <w:left w:val="nil"/>
              <w:right w:val="nil"/>
            </w:tcBorders>
            <w:vAlign w:val="center"/>
          </w:tcPr>
          <w:p>
            <w:pPr>
              <w:keepNext/>
              <w:spacing w:before="20" w:after="20"/>
              <w:jc w:val="center"/>
            </w:pPr>
            <w:r>
              <w:rPr>
                <w:sz w:val="16"/>
                <w:szCs w:val="16"/>
              </w:rPr>
              <w:t xml:space="preserve">0.295 (0.286–0.304)</w:t>
            </w:r>
          </w:p>
        </w:tc>
        <w:tc>
          <w:tcPr>
            <w:tcW w:w="1871" w:type="dxa"/>
            <w:tcBorders>
              <w:left w:val="nil"/>
              <w:right w:val="nil"/>
            </w:tcBorders>
            <w:vAlign w:val="center"/>
          </w:tcPr>
          <w:p>
            <w:pPr>
              <w:keepNext/>
              <w:spacing w:before="20" w:after="20"/>
              <w:jc w:val="center"/>
            </w:pPr>
            <w:r>
              <w:rPr>
                <w:sz w:val="16"/>
                <w:szCs w:val="16"/>
              </w:rPr>
              <w:t xml:space="preserve">0.209 (0.201–0.216)</w:t>
            </w:r>
          </w:p>
        </w:tc>
        <w:tc>
          <w:tcPr>
            <w:tcW w:w="1474" w:type="dxa"/>
            <w:tcBorders>
              <w:left w:val="nil"/>
              <w:right w:val="nil"/>
            </w:tcBorders>
            <w:vAlign w:val="center"/>
          </w:tcPr>
          <w:p>
            <w:pPr>
              <w:keepNext/>
              <w:spacing w:before="20" w:after="20"/>
              <w:jc w:val="center"/>
            </w:pPr>
            <w:r>
              <w:rPr>
                <w:sz w:val="16"/>
                <w:szCs w:val="16"/>
              </w:rPr>
              <w:t xml:space="preserve">0.328 (0.320–0.337)</w:t>
            </w:r>
          </w:p>
        </w:tc>
        <w:tc>
          <w:tcPr>
            <w:tcW w:w="2041" w:type="dxa"/>
            <w:tcBorders>
              <w:left w:val="nil"/>
              <w:right w:val="nil"/>
            </w:tcBorders>
            <w:vAlign w:val="center"/>
          </w:tcPr>
          <w:p>
            <w:pPr>
              <w:keepNext/>
              <w:spacing w:before="20" w:after="20"/>
              <w:jc w:val="center"/>
            </w:pPr>
            <w:r>
              <w:rPr>
                <w:sz w:val="16"/>
                <w:szCs w:val="16"/>
              </w:rPr>
              <w:t xml:space="preserve">0.998 ± 0.000</w:t>
            </w:r>
          </w:p>
        </w:tc>
      </w:tr>
      <w:tr>
        <w:trPr>
          <w:cantSplit/>
        </w:trPr>
        <w:tc>
          <w:tcPr>
            <w:tcW w:w="1134" w:type="dxa"/>
            <w:tcBorders>
              <w:left w:val="nil"/>
              <w:right w:val="nil"/>
            </w:tcBorders>
            <w:vAlign w:val="center"/>
          </w:tcPr>
          <w:p>
            <w:pPr>
              <w:keepNext/>
              <w:spacing w:before="20" w:after="20"/>
              <w:jc w:val="left"/>
            </w:pPr>
            <w:r>
              <w:rPr>
                <w:sz w:val="16"/>
                <w:szCs w:val="16"/>
              </w:rPr>
              <w:t xml:space="preserve">L0 vs B</w:t>
            </w:r>
          </w:p>
        </w:tc>
        <w:tc>
          <w:tcPr>
            <w:tcW w:w="1814" w:type="dxa"/>
            <w:tcBorders>
              <w:left w:val="nil"/>
              <w:right w:val="nil"/>
            </w:tcBorders>
            <w:vAlign w:val="center"/>
          </w:tcPr>
          <w:p>
            <w:pPr>
              <w:keepNext/>
              <w:spacing w:before="20" w:after="20"/>
              <w:jc w:val="center"/>
            </w:pPr>
            <w:r>
              <w:rPr>
                <w:sz w:val="16"/>
                <w:szCs w:val="16"/>
              </w:rPr>
              <w:t xml:space="preserve">0.254 (0.244–0.263)</w:t>
            </w:r>
          </w:p>
        </w:tc>
        <w:tc>
          <w:tcPr>
            <w:tcW w:w="1871" w:type="dxa"/>
            <w:tcBorders>
              <w:left w:val="nil"/>
              <w:right w:val="nil"/>
            </w:tcBorders>
            <w:vAlign w:val="center"/>
          </w:tcPr>
          <w:p>
            <w:pPr>
              <w:keepNext/>
              <w:spacing w:before="20" w:after="20"/>
              <w:jc w:val="center"/>
            </w:pPr>
            <w:r>
              <w:rPr>
                <w:sz w:val="16"/>
                <w:szCs w:val="16"/>
              </w:rPr>
              <w:t xml:space="preserve">0.345 (0.336–0.354)</w:t>
            </w:r>
          </w:p>
        </w:tc>
        <w:tc>
          <w:tcPr>
            <w:tcW w:w="1474" w:type="dxa"/>
            <w:tcBorders>
              <w:left w:val="nil"/>
              <w:right w:val="nil"/>
            </w:tcBorders>
            <w:vAlign w:val="center"/>
          </w:tcPr>
          <w:p>
            <w:pPr>
              <w:keepNext/>
              <w:spacing w:before="20" w:after="20"/>
              <w:jc w:val="center"/>
            </w:pPr>
            <w:r>
              <w:rPr>
                <w:sz w:val="16"/>
                <w:szCs w:val="16"/>
              </w:rPr>
              <w:t xml:space="preserve">0.328 (0.320–0.337)</w:t>
            </w:r>
          </w:p>
        </w:tc>
        <w:tc>
          <w:tcPr>
            <w:tcW w:w="2041" w:type="dxa"/>
            <w:tcBorders>
              <w:left w:val="nil"/>
              <w:right w:val="nil"/>
            </w:tcBorders>
            <w:vAlign w:val="center"/>
          </w:tcPr>
          <w:p>
            <w:pPr>
              <w:keepNext/>
              <w:spacing w:before="20" w:after="20"/>
              <w:jc w:val="center"/>
            </w:pPr>
            <w:r>
              <w:rPr>
                <w:sz w:val="16"/>
                <w:szCs w:val="16"/>
              </w:rPr>
              <w:t xml:space="preserve">0.999 ± 0.000</w:t>
            </w:r>
          </w:p>
        </w:tc>
      </w:tr>
      <w:tr>
        <w:trPr>
          <w:cantSplit/>
        </w:trPr>
        <w:tc>
          <w:tcPr>
            <w:tcW w:w="1134" w:type="dxa"/>
            <w:tcBorders>
              <w:left w:val="nil"/>
              <w:bottom w:val="single" w:sz="8" w:space="0" w:color="000000"/>
              <w:right w:val="nil"/>
            </w:tcBorders>
            <w:vAlign w:val="center"/>
          </w:tcPr>
          <w:p>
            <w:pPr>
              <w:spacing w:before="20" w:after="20"/>
              <w:jc w:val="left"/>
            </w:pPr>
            <w:r>
              <w:rPr>
                <w:sz w:val="16"/>
                <w:szCs w:val="16"/>
              </w:rPr>
              <w:t xml:space="preserve">Inflation, A2 (2)</w:t>
            </w:r>
          </w:p>
        </w:tc>
        <w:tc>
          <w:tcPr>
            <w:tcW w:w="1814" w:type="dxa"/>
            <w:tcBorders>
              <w:left w:val="nil"/>
              <w:bottom w:val="single" w:sz="8" w:space="0" w:color="000000"/>
              <w:right w:val="nil"/>
            </w:tcBorders>
            <w:vAlign w:val="center"/>
          </w:tcPr>
          <w:p>
            <w:pPr>
              <w:spacing w:before="20" w:after="20"/>
              <w:jc w:val="center"/>
            </w:pPr>
            <w:r>
              <w:rPr>
                <w:sz w:val="16"/>
                <w:szCs w:val="16"/>
              </w:rPr>
              <w:t xml:space="preserve">189%</w:t>
            </w:r>
          </w:p>
        </w:tc>
        <w:tc>
          <w:tcPr>
            <w:tcW w:w="1871" w:type="dxa"/>
            <w:tcBorders>
              <w:left w:val="nil"/>
              <w:bottom w:val="single" w:sz="8" w:space="0" w:color="000000"/>
              <w:right w:val="nil"/>
            </w:tcBorders>
            <w:vAlign w:val="center"/>
          </w:tcPr>
          <w:p>
            <w:pPr>
              <w:spacing w:before="20" w:after="20"/>
              <w:jc w:val="center"/>
            </w:pPr>
            <w:r>
              <w:rPr>
                <w:sz w:val="16"/>
                <w:szCs w:val="16"/>
              </w:rPr>
              <w:t xml:space="preserve">136%</w:t>
            </w:r>
          </w:p>
        </w:tc>
        <w:tc>
          <w:tcPr>
            <w:tcW w:w="1474" w:type="dxa"/>
            <w:tcBorders>
              <w:left w:val="nil"/>
              <w:bottom w:val="single" w:sz="8" w:space="0" w:color="000000"/>
              <w:right w:val="nil"/>
            </w:tcBorders>
            <w:vAlign w:val="center"/>
          </w:tcPr>
          <w:p>
            <w:pPr>
              <w:spacing w:before="20" w:after="20"/>
              <w:jc w:val="center"/>
            </w:pPr>
            <w:r>
              <w:rPr>
                <w:sz w:val="16"/>
                <w:szCs w:val="16"/>
              </w:rPr>
              <w:t xml:space="preserve">193%</w:t>
            </w:r>
          </w:p>
        </w:tc>
        <w:tc>
          <w:tcPr>
            <w:tcW w:w="2041" w:type="dxa"/>
            <w:tcBorders>
              <w:left w:val="nil"/>
              <w:bottom w:val="single" w:sz="8" w:space="0" w:color="000000"/>
              <w:right w:val="nil"/>
            </w:tcBorders>
            <w:vAlign w:val="center"/>
          </w:tcPr>
          <w:p>
            <w:pPr>
              <w:spacing w:before="20" w:after="20"/>
              <w:jc w:val="center"/>
            </w:pPr>
            <w:r>
              <w:rPr>
                <w:sz w:val="16"/>
                <w:szCs w:val="16"/>
              </w:rPr>
              <w:t xml:space="preserve">–</w:t>
            </w:r>
          </w:p>
        </w:tc>
      </w:tr>
    </w:tbl>
    <w:p/>
    <w:p>
      <w:pPr>
        <w:keepNext/>
        <w:spacing w:before="180" w:after="60"/>
      </w:pPr>
      <w:r>
        <w:rPr>
          <w:b/>
          <w:bCs/>
        </w:rPr>
        <w:t xml:space="preserve">3.3. What the models learn</w:t>
      </w:r>
    </w:p>
    <w:p>
      <w:pPr>
        <w:ind w:firstLine="720"/>
        <w:jc w:val="both"/>
      </w:pPr>
      <w:r>
        <w:t xml:space="preserve">Permutation importance (Figure 4) explains why. In the leaky HGB model, shuffling height reduced the AUC by 0.473 and shuffling age by 0.361, followed at a distance by sex (0.016); every determinant, including maternal education, sanitation, and feeding practices, had an importance below 0.001. In other words, once height is available the model discards all information about risk factors, and any "key determinants" extracted from such a model are an artifact of ranking noise. This is consistent with reports in which child height, weight, and age head the feature-importance lists [12]–[14], and it implies that the determinant rankings published alongside leaky models should not be used to guide policy.</w:t>
      </w:r>
    </w:p>
    <w:p>
      <w:pPr>
        <w:keepNext/>
        <w:spacing w:before="120"/>
        <w:jc w:val="center"/>
      </w:pPr>
      <w:r>
        <w:drawing>
          <wp:inline distT="0" distB="0" distL="0" distR="0">
            <wp:extent cx="5580000" cy="2097591"/>
            <wp:docPr id="204" name="Fig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fig_permutation_importance_en.png"/>
                    <pic:cNvPicPr/>
                  </pic:nvPicPr>
                  <pic:blipFill>
                    <a:blip r:embed="rId204"/>
                    <a:stretch>
                      <a:fillRect/>
                    </a:stretch>
                  </pic:blipFill>
                  <pic:spPr>
                    <a:xfrm>
                      <a:off x="0" y="0"/>
                      <a:ext cx="5580000" cy="2097591"/>
                    </a:xfrm>
                    <a:prstGeom prst="rect">
                      <a:avLst/>
                    </a:prstGeom>
                  </pic:spPr>
                </pic:pic>
              </a:graphicData>
            </a:graphic>
          </wp:inline>
        </w:drawing>
      </w:r>
    </w:p>
    <w:p>
      <w:pPr>
        <w:spacing w:before="60" w:after="120"/>
        <w:jc w:val="center"/>
      </w:pPr>
      <w:r>
        <w:t xml:space="preserve">Figure 4. Top ten permutation importances of gradient boosting in (a) the leaky scenario A2 and (b) the leakage-free scenario B</w:t>
      </w:r>
    </w:p>
    <w:p>
      <w:pPr>
        <w:ind w:firstLine="720"/>
        <w:jc w:val="both"/>
      </w:pPr>
      <w:r>
        <w:t xml:space="preserve">In the leakage-free model the importance is spread across plausible determinants: child age (0.041), province (0.031), birth weight (0.024), birth length (0.012), sex (0.004), type of health insurance, maternal education, household waste handling, household size, and maternal age at first pregnancy. The prominence of age reflects the well-known deepening of growth faltering during the first two years; province, insurance, and household variables capture geographic and socioeconomic gradients; and birth weight and length capture intrauterine growth restriction. These findings agree with multilevel analyses of Indonesian children [2] and with the global evidence on the determinants of stunting [1], which supports the face validity of scenario B.</w:t>
      </w:r>
    </w:p>
    <w:p>
      <w:pPr>
        <w:keepNext/>
        <w:spacing w:before="180" w:after="60"/>
      </w:pPr>
      <w:r>
        <w:rPr>
          <w:b/>
          <w:bCs/>
        </w:rPr>
        <w:t xml:space="preserve">3.4. Implications for research practice</w:t>
      </w:r>
    </w:p>
    <w:p>
      <w:pPr>
        <w:ind w:firstLine="720"/>
        <w:jc w:val="both"/>
      </w:pPr>
      <w:r>
        <w:t xml:space="preserve">Table 4 contrasts the performance reported by recent studies that included current anthropometry with the leakage-free baseline obtained here. The pattern is consistent: when height (and often weight) is among the inputs, reported accuracy exceeds 86% and AUC approaches 1; when only determinants are used, AUC is around 0.65–0.67. Some studies also applied synthetic oversampling before splitting [13], which adds a second source of optimism [17], [18]. We do not claim that these studies are without value—several of them also report determinant analyses—but their headline accuracy figures measure the ability to recompute HAZ, not to predict stunting.</w:t>
      </w:r>
    </w:p>
    <w:p>
      <w:pPr>
        <w:keepNext/>
        <w:spacing w:before="120" w:after="60"/>
        <w:jc w:val="center"/>
      </w:pPr>
      <w:r>
        <w:t xml:space="preserve">Table 4. Reported performance of recent studies using current anthropometry versus the leakage-free baseline</w:t>
      </w:r>
    </w:p>
    <w:tbl>
      <w:tblPr>
        <w:tblW w:w="8334" w:type="dxa"/>
        <w:jc w:val="center"/>
        <w:tblLayout w:type="fixed"/>
        <w:tblCellMar>
          <w:left w:w="57" w:type="dxa"/>
          <w:right w:w="57" w:type="dxa"/>
        </w:tblCellMar>
      </w:tblPr>
      <w:tblGrid>
        <w:gridCol w:w="2041"/>
        <w:gridCol w:w="1701"/>
        <w:gridCol w:w="2948"/>
        <w:gridCol w:w="1644"/>
      </w:tblGrid>
      <w:tr>
        <w:trPr>
          <w:cantSplit/>
        </w:trPr>
        <w:tc>
          <w:tcPr>
            <w:tcW w:w="2041" w:type="dxa"/>
            <w:tcBorders>
              <w:top w:val="single" w:sz="8" w:space="0" w:color="000000"/>
              <w:left w:val="nil"/>
              <w:bottom w:val="single" w:sz="4" w:space="0" w:color="000000"/>
              <w:right w:val="nil"/>
            </w:tcBorders>
            <w:vAlign w:val="center"/>
          </w:tcPr>
          <w:p>
            <w:pPr>
              <w:keepNext/>
              <w:spacing w:before="20" w:after="20"/>
              <w:jc w:val="left"/>
            </w:pPr>
            <w:r>
              <w:rPr>
                <w:b/>
                <w:bCs/>
                <w:sz w:val="16"/>
                <w:szCs w:val="16"/>
              </w:rPr>
              <w:t xml:space="preserve">Study</w:t>
            </w:r>
          </w:p>
        </w:tc>
        <w:tc>
          <w:tcPr>
            <w:tcW w:w="1701" w:type="dxa"/>
            <w:tcBorders>
              <w:top w:val="single" w:sz="8" w:space="0" w:color="000000"/>
              <w:left w:val="nil"/>
              <w:bottom w:val="single" w:sz="4" w:space="0" w:color="000000"/>
              <w:right w:val="nil"/>
            </w:tcBorders>
            <w:vAlign w:val="center"/>
          </w:tcPr>
          <w:p>
            <w:pPr>
              <w:keepNext/>
              <w:spacing w:before="20" w:after="20"/>
              <w:jc w:val="center"/>
            </w:pPr>
            <w:r>
              <w:rPr>
                <w:b/>
                <w:bCs/>
                <w:sz w:val="16"/>
                <w:szCs w:val="16"/>
              </w:rPr>
              <w:t xml:space="preserve">Data</w:t>
            </w:r>
          </w:p>
        </w:tc>
        <w:tc>
          <w:tcPr>
            <w:tcW w:w="2948" w:type="dxa"/>
            <w:tcBorders>
              <w:top w:val="single" w:sz="8" w:space="0" w:color="000000"/>
              <w:left w:val="nil"/>
              <w:bottom w:val="single" w:sz="4" w:space="0" w:color="000000"/>
              <w:right w:val="nil"/>
            </w:tcBorders>
            <w:vAlign w:val="center"/>
          </w:tcPr>
          <w:p>
            <w:pPr>
              <w:keepNext/>
              <w:spacing w:before="20" w:after="20"/>
              <w:jc w:val="center"/>
            </w:pPr>
            <w:r>
              <w:rPr>
                <w:b/>
                <w:bCs/>
                <w:sz w:val="16"/>
                <w:szCs w:val="16"/>
              </w:rPr>
              <w:t xml:space="preserve">Anthropometric inputs (as reported)</w:t>
            </w:r>
          </w:p>
        </w:tc>
        <w:tc>
          <w:tcPr>
            <w:tcW w:w="1644" w:type="dxa"/>
            <w:tcBorders>
              <w:top w:val="single" w:sz="8" w:space="0" w:color="000000"/>
              <w:left w:val="nil"/>
              <w:bottom w:val="single" w:sz="4" w:space="0" w:color="000000"/>
              <w:right w:val="nil"/>
            </w:tcBorders>
            <w:vAlign w:val="center"/>
          </w:tcPr>
          <w:p>
            <w:pPr>
              <w:keepNext/>
              <w:spacing w:before="20" w:after="20"/>
              <w:jc w:val="center"/>
            </w:pPr>
            <w:r>
              <w:rPr>
                <w:b/>
                <w:bCs/>
                <w:sz w:val="16"/>
                <w:szCs w:val="16"/>
              </w:rPr>
              <w:t xml:space="preserve">Reported performance</w:t>
            </w:r>
          </w:p>
        </w:tc>
      </w:tr>
      <w:tr>
        <w:trPr>
          <w:cantSplit/>
        </w:trPr>
        <w:tc>
          <w:tcPr>
            <w:tcW w:w="2041" w:type="dxa"/>
            <w:tcBorders>
              <w:left w:val="nil"/>
              <w:right w:val="nil"/>
            </w:tcBorders>
            <w:vAlign w:val="center"/>
          </w:tcPr>
          <w:p>
            <w:pPr>
              <w:keepNext/>
              <w:spacing w:before="20" w:after="20"/>
              <w:jc w:val="left"/>
            </w:pPr>
            <w:r>
              <w:rPr>
                <w:sz w:val="16"/>
                <w:szCs w:val="16"/>
              </w:rPr>
              <w:t xml:space="preserve">Anku and Duah [12]</w:t>
            </w:r>
          </w:p>
        </w:tc>
        <w:tc>
          <w:tcPr>
            <w:tcW w:w="1701" w:type="dxa"/>
            <w:tcBorders>
              <w:left w:val="nil"/>
              <w:right w:val="nil"/>
            </w:tcBorders>
            <w:vAlign w:val="center"/>
          </w:tcPr>
          <w:p>
            <w:pPr>
              <w:keepNext/>
              <w:spacing w:before="20" w:after="20"/>
              <w:jc w:val="center"/>
            </w:pPr>
            <w:r>
              <w:rPr>
                <w:sz w:val="16"/>
                <w:szCs w:val="16"/>
              </w:rPr>
              <w:t xml:space="preserve">Ghana survey</w:t>
            </w:r>
          </w:p>
        </w:tc>
        <w:tc>
          <w:tcPr>
            <w:tcW w:w="2948" w:type="dxa"/>
            <w:tcBorders>
              <w:left w:val="nil"/>
              <w:right w:val="nil"/>
            </w:tcBorders>
            <w:vAlign w:val="center"/>
          </w:tcPr>
          <w:p>
            <w:pPr>
              <w:keepNext/>
              <w:spacing w:before="20" w:after="20"/>
              <w:jc w:val="center"/>
            </w:pPr>
            <w:r>
              <w:rPr>
                <w:sz w:val="16"/>
                <w:szCs w:val="16"/>
              </w:rPr>
              <w:t xml:space="preserve">Weight, length/height, age among top predictors</w:t>
            </w:r>
          </w:p>
        </w:tc>
        <w:tc>
          <w:tcPr>
            <w:tcW w:w="1644" w:type="dxa"/>
            <w:tcBorders>
              <w:left w:val="nil"/>
              <w:right w:val="nil"/>
            </w:tcBorders>
            <w:vAlign w:val="center"/>
          </w:tcPr>
          <w:p>
            <w:pPr>
              <w:keepNext/>
              <w:spacing w:before="20" w:after="20"/>
              <w:jc w:val="center"/>
            </w:pPr>
            <w:r>
              <w:rPr>
                <w:sz w:val="16"/>
                <w:szCs w:val="16"/>
              </w:rPr>
              <w:t xml:space="preserve">Accuracy 86%–98%</w:t>
            </w:r>
          </w:p>
        </w:tc>
      </w:tr>
      <w:tr>
        <w:trPr>
          <w:cantSplit/>
        </w:trPr>
        <w:tc>
          <w:tcPr>
            <w:tcW w:w="2041" w:type="dxa"/>
            <w:tcBorders>
              <w:left w:val="nil"/>
              <w:right w:val="nil"/>
            </w:tcBorders>
            <w:vAlign w:val="center"/>
          </w:tcPr>
          <w:p>
            <w:pPr>
              <w:keepNext/>
              <w:spacing w:before="20" w:after="20"/>
              <w:jc w:val="left"/>
            </w:pPr>
            <w:r>
              <w:rPr>
                <w:sz w:val="16"/>
                <w:szCs w:val="16"/>
              </w:rPr>
              <w:t xml:space="preserve">Ayele </w:t>
            </w:r>
            <w:r>
              <w:rPr>
                <w:i/>
                <w:iCs/>
                <w:sz w:val="16"/>
                <w:szCs w:val="16"/>
              </w:rPr>
              <w:t xml:space="preserve">et al.</w:t>
            </w:r>
            <w:r>
              <w:rPr>
                <w:sz w:val="16"/>
                <w:szCs w:val="16"/>
              </w:rPr>
              <w:t xml:space="preserve"> [13]</w:t>
            </w:r>
          </w:p>
        </w:tc>
        <w:tc>
          <w:tcPr>
            <w:tcW w:w="1701" w:type="dxa"/>
            <w:tcBorders>
              <w:left w:val="nil"/>
              <w:right w:val="nil"/>
            </w:tcBorders>
            <w:vAlign w:val="center"/>
          </w:tcPr>
          <w:p>
            <w:pPr>
              <w:keepNext/>
              <w:spacing w:before="20" w:after="20"/>
              <w:jc w:val="center"/>
            </w:pPr>
            <w:r>
              <w:rPr>
                <w:sz w:val="16"/>
                <w:szCs w:val="16"/>
              </w:rPr>
              <w:t xml:space="preserve">Ethiopia DHS</w:t>
            </w:r>
          </w:p>
        </w:tc>
        <w:tc>
          <w:tcPr>
            <w:tcW w:w="2948" w:type="dxa"/>
            <w:tcBorders>
              <w:left w:val="nil"/>
              <w:right w:val="nil"/>
            </w:tcBorders>
            <w:vAlign w:val="center"/>
          </w:tcPr>
          <w:p>
            <w:pPr>
              <w:keepNext/>
              <w:spacing w:before="20" w:after="20"/>
              <w:jc w:val="center"/>
            </w:pPr>
            <w:r>
              <w:rPr>
                <w:sz w:val="16"/>
                <w:szCs w:val="16"/>
              </w:rPr>
              <w:t xml:space="preserve">Height and weight ranked after age; SMOTE before split</w:t>
            </w:r>
          </w:p>
        </w:tc>
        <w:tc>
          <w:tcPr>
            <w:tcW w:w="1644" w:type="dxa"/>
            <w:tcBorders>
              <w:left w:val="nil"/>
              <w:right w:val="nil"/>
            </w:tcBorders>
            <w:vAlign w:val="center"/>
          </w:tcPr>
          <w:p>
            <w:pPr>
              <w:keepNext/>
              <w:spacing w:before="20" w:after="20"/>
              <w:jc w:val="center"/>
            </w:pPr>
            <w:r>
              <w:rPr>
                <w:sz w:val="16"/>
                <w:szCs w:val="16"/>
              </w:rPr>
              <w:t xml:space="preserve">Accuracy 97.99%, AUC 0.99995</w:t>
            </w:r>
          </w:p>
        </w:tc>
      </w:tr>
      <w:tr>
        <w:trPr>
          <w:cantSplit/>
        </w:trPr>
        <w:tc>
          <w:tcPr>
            <w:tcW w:w="2041" w:type="dxa"/>
            <w:tcBorders>
              <w:left w:val="nil"/>
              <w:right w:val="nil"/>
            </w:tcBorders>
            <w:vAlign w:val="center"/>
          </w:tcPr>
          <w:p>
            <w:pPr>
              <w:keepNext/>
              <w:spacing w:before="20" w:after="20"/>
              <w:jc w:val="left"/>
            </w:pPr>
            <w:r>
              <w:rPr>
                <w:sz w:val="16"/>
                <w:szCs w:val="16"/>
              </w:rPr>
              <w:t xml:space="preserve">Hendy </w:t>
            </w:r>
            <w:r>
              <w:rPr>
                <w:i/>
                <w:iCs/>
                <w:sz w:val="16"/>
                <w:szCs w:val="16"/>
              </w:rPr>
              <w:t xml:space="preserve">et al.</w:t>
            </w:r>
            <w:r>
              <w:rPr>
                <w:sz w:val="16"/>
                <w:szCs w:val="16"/>
              </w:rPr>
              <w:t xml:space="preserve"> [15]</w:t>
            </w:r>
          </w:p>
        </w:tc>
        <w:tc>
          <w:tcPr>
            <w:tcW w:w="1701" w:type="dxa"/>
            <w:tcBorders>
              <w:left w:val="nil"/>
              <w:right w:val="nil"/>
            </w:tcBorders>
            <w:vAlign w:val="center"/>
          </w:tcPr>
          <w:p>
            <w:pPr>
              <w:keepNext/>
              <w:spacing w:before="20" w:after="20"/>
              <w:jc w:val="center"/>
            </w:pPr>
            <w:r>
              <w:rPr>
                <w:sz w:val="16"/>
                <w:szCs w:val="16"/>
              </w:rPr>
              <w:t xml:space="preserve">Egypt DHS</w:t>
            </w:r>
          </w:p>
        </w:tc>
        <w:tc>
          <w:tcPr>
            <w:tcW w:w="2948" w:type="dxa"/>
            <w:tcBorders>
              <w:left w:val="nil"/>
              <w:right w:val="nil"/>
            </w:tcBorders>
            <w:vAlign w:val="center"/>
          </w:tcPr>
          <w:p>
            <w:pPr>
              <w:keepNext/>
              <w:spacing w:before="20" w:after="20"/>
              <w:jc w:val="center"/>
            </w:pPr>
            <w:r>
              <w:rPr>
                <w:sz w:val="16"/>
                <w:szCs w:val="16"/>
              </w:rPr>
              <w:t xml:space="preserve">Height and weight among inputs</w:t>
            </w:r>
          </w:p>
        </w:tc>
        <w:tc>
          <w:tcPr>
            <w:tcW w:w="1644" w:type="dxa"/>
            <w:tcBorders>
              <w:left w:val="nil"/>
              <w:right w:val="nil"/>
            </w:tcBorders>
            <w:vAlign w:val="center"/>
          </w:tcPr>
          <w:p>
            <w:pPr>
              <w:keepNext/>
              <w:spacing w:before="20" w:after="20"/>
              <w:jc w:val="center"/>
            </w:pPr>
            <w:r>
              <w:rPr>
                <w:sz w:val="16"/>
                <w:szCs w:val="16"/>
              </w:rPr>
              <w:t xml:space="preserve">Accuracy &gt; 90%, AUC &gt; 0.96</w:t>
            </w:r>
          </w:p>
        </w:tc>
      </w:tr>
      <w:tr>
        <w:trPr>
          <w:cantSplit/>
        </w:trPr>
        <w:tc>
          <w:tcPr>
            <w:tcW w:w="2041" w:type="dxa"/>
            <w:tcBorders>
              <w:left w:val="nil"/>
              <w:right w:val="nil"/>
            </w:tcBorders>
            <w:vAlign w:val="center"/>
          </w:tcPr>
          <w:p>
            <w:pPr>
              <w:keepNext/>
              <w:spacing w:before="20" w:after="20"/>
              <w:jc w:val="left"/>
            </w:pPr>
            <w:r>
              <w:rPr>
                <w:sz w:val="16"/>
                <w:szCs w:val="16"/>
              </w:rPr>
              <w:t xml:space="preserve">Wudu </w:t>
            </w:r>
            <w:r>
              <w:rPr>
                <w:i/>
                <w:iCs/>
                <w:sz w:val="16"/>
                <w:szCs w:val="16"/>
              </w:rPr>
              <w:t xml:space="preserve">et al.</w:t>
            </w:r>
            <w:r>
              <w:rPr>
                <w:sz w:val="16"/>
                <w:szCs w:val="16"/>
              </w:rPr>
              <w:t xml:space="preserve"> [14]</w:t>
            </w:r>
          </w:p>
        </w:tc>
        <w:tc>
          <w:tcPr>
            <w:tcW w:w="1701" w:type="dxa"/>
            <w:tcBorders>
              <w:left w:val="nil"/>
              <w:right w:val="nil"/>
            </w:tcBorders>
            <w:vAlign w:val="center"/>
          </w:tcPr>
          <w:p>
            <w:pPr>
              <w:keepNext/>
              <w:spacing w:before="20" w:after="20"/>
              <w:jc w:val="center"/>
            </w:pPr>
            <w:r>
              <w:rPr>
                <w:sz w:val="16"/>
                <w:szCs w:val="16"/>
              </w:rPr>
              <w:t xml:space="preserve">Ethiopia survey</w:t>
            </w:r>
          </w:p>
        </w:tc>
        <w:tc>
          <w:tcPr>
            <w:tcW w:w="2948" w:type="dxa"/>
            <w:tcBorders>
              <w:left w:val="nil"/>
              <w:right w:val="nil"/>
            </w:tcBorders>
            <w:vAlign w:val="center"/>
          </w:tcPr>
          <w:p>
            <w:pPr>
              <w:keepNext/>
              <w:spacing w:before="20" w:after="20"/>
              <w:jc w:val="center"/>
            </w:pPr>
            <w:r>
              <w:rPr>
                <w:sz w:val="16"/>
                <w:szCs w:val="16"/>
              </w:rPr>
              <w:t xml:space="preserve">Height most influential feature (SHAP)</w:t>
            </w:r>
          </w:p>
        </w:tc>
        <w:tc>
          <w:tcPr>
            <w:tcW w:w="1644" w:type="dxa"/>
            <w:tcBorders>
              <w:left w:val="nil"/>
              <w:right w:val="nil"/>
            </w:tcBorders>
            <w:vAlign w:val="center"/>
          </w:tcPr>
          <w:p>
            <w:pPr>
              <w:keepNext/>
              <w:spacing w:before="20" w:after="20"/>
              <w:jc w:val="center"/>
            </w:pPr>
            <w:r>
              <w:rPr>
                <w:sz w:val="16"/>
                <w:szCs w:val="16"/>
              </w:rPr>
              <w:t xml:space="preserve">Accuracy 94%</w:t>
            </w:r>
          </w:p>
        </w:tc>
      </w:tr>
      <w:tr>
        <w:trPr>
          <w:cantSplit/>
        </w:trPr>
        <w:tc>
          <w:tcPr>
            <w:tcW w:w="2041" w:type="dxa"/>
            <w:tcBorders>
              <w:left w:val="nil"/>
              <w:right w:val="nil"/>
            </w:tcBorders>
            <w:vAlign w:val="center"/>
          </w:tcPr>
          <w:p>
            <w:pPr>
              <w:keepNext/>
              <w:spacing w:before="20" w:after="20"/>
              <w:jc w:val="left"/>
            </w:pPr>
            <w:r>
              <w:rPr>
                <w:sz w:val="16"/>
                <w:szCs w:val="16"/>
              </w:rPr>
              <w:t xml:space="preserve">This study, A2 (leaky)</w:t>
            </w:r>
          </w:p>
        </w:tc>
        <w:tc>
          <w:tcPr>
            <w:tcW w:w="1701" w:type="dxa"/>
            <w:tcBorders>
              <w:left w:val="nil"/>
              <w:right w:val="nil"/>
            </w:tcBorders>
            <w:vAlign w:val="center"/>
          </w:tcPr>
          <w:p>
            <w:pPr>
              <w:keepNext/>
              <w:spacing w:before="20" w:after="20"/>
              <w:jc w:val="center"/>
            </w:pPr>
            <w:r>
              <w:rPr>
                <w:sz w:val="16"/>
                <w:szCs w:val="16"/>
              </w:rPr>
              <w:t xml:space="preserve">SKI 2023</w:t>
            </w:r>
          </w:p>
        </w:tc>
        <w:tc>
          <w:tcPr>
            <w:tcW w:w="2948" w:type="dxa"/>
            <w:tcBorders>
              <w:left w:val="nil"/>
              <w:right w:val="nil"/>
            </w:tcBorders>
            <w:vAlign w:val="center"/>
          </w:tcPr>
          <w:p>
            <w:pPr>
              <w:keepNext/>
              <w:spacing w:before="20" w:after="20"/>
              <w:jc w:val="center"/>
            </w:pPr>
            <w:r>
              <w:rPr>
                <w:sz w:val="16"/>
                <w:szCs w:val="16"/>
              </w:rPr>
              <w:t xml:space="preserve">Weight, height, MUAC, waist</w:t>
            </w:r>
          </w:p>
        </w:tc>
        <w:tc>
          <w:tcPr>
            <w:tcW w:w="1644" w:type="dxa"/>
            <w:tcBorders>
              <w:left w:val="nil"/>
              <w:right w:val="nil"/>
            </w:tcBorders>
            <w:vAlign w:val="center"/>
          </w:tcPr>
          <w:p>
            <w:pPr>
              <w:keepNext/>
              <w:spacing w:before="20" w:after="20"/>
              <w:jc w:val="center"/>
            </w:pPr>
            <w:r>
              <w:rPr>
                <w:sz w:val="16"/>
                <w:szCs w:val="16"/>
              </w:rPr>
              <w:t xml:space="preserve">Accuracy 97.8%, AUC 0.998</w:t>
            </w:r>
          </w:p>
        </w:tc>
      </w:tr>
      <w:tr>
        <w:trPr>
          <w:cantSplit/>
        </w:trPr>
        <w:tc>
          <w:tcPr>
            <w:tcW w:w="2041" w:type="dxa"/>
            <w:tcBorders>
              <w:left w:val="nil"/>
              <w:bottom w:val="single" w:sz="8" w:space="0" w:color="000000"/>
              <w:right w:val="nil"/>
            </w:tcBorders>
            <w:vAlign w:val="center"/>
          </w:tcPr>
          <w:p>
            <w:pPr>
              <w:spacing w:before="20" w:after="20"/>
              <w:jc w:val="left"/>
            </w:pPr>
            <w:r>
              <w:rPr>
                <w:sz w:val="16"/>
                <w:szCs w:val="16"/>
              </w:rPr>
              <w:t xml:space="preserve">This study, B (leakage-free)</w:t>
            </w:r>
          </w:p>
        </w:tc>
        <w:tc>
          <w:tcPr>
            <w:tcW w:w="1701" w:type="dxa"/>
            <w:tcBorders>
              <w:left w:val="nil"/>
              <w:bottom w:val="single" w:sz="8" w:space="0" w:color="000000"/>
              <w:right w:val="nil"/>
            </w:tcBorders>
            <w:vAlign w:val="center"/>
          </w:tcPr>
          <w:p>
            <w:pPr>
              <w:spacing w:before="20" w:after="20"/>
              <w:jc w:val="center"/>
            </w:pPr>
            <w:r>
              <w:rPr>
                <w:sz w:val="16"/>
                <w:szCs w:val="16"/>
              </w:rPr>
              <w:t xml:space="preserve">SKI 2023</w:t>
            </w:r>
          </w:p>
        </w:tc>
        <w:tc>
          <w:tcPr>
            <w:tcW w:w="2948" w:type="dxa"/>
            <w:tcBorders>
              <w:left w:val="nil"/>
              <w:bottom w:val="single" w:sz="8" w:space="0" w:color="000000"/>
              <w:right w:val="nil"/>
            </w:tcBorders>
            <w:vAlign w:val="center"/>
          </w:tcPr>
          <w:p>
            <w:pPr>
              <w:spacing w:before="20" w:after="20"/>
              <w:jc w:val="center"/>
            </w:pPr>
            <w:r>
              <w:rPr>
                <w:sz w:val="16"/>
                <w:szCs w:val="16"/>
              </w:rPr>
              <w:t xml:space="preserve">None</w:t>
            </w:r>
          </w:p>
        </w:tc>
        <w:tc>
          <w:tcPr>
            <w:tcW w:w="1644" w:type="dxa"/>
            <w:tcBorders>
              <w:left w:val="nil"/>
              <w:bottom w:val="single" w:sz="8" w:space="0" w:color="000000"/>
              <w:right w:val="nil"/>
            </w:tcBorders>
            <w:vAlign w:val="center"/>
          </w:tcPr>
          <w:p>
            <w:pPr>
              <w:spacing w:before="20" w:after="20"/>
              <w:jc w:val="center"/>
            </w:pPr>
            <w:r>
              <w:rPr>
                <w:sz w:val="16"/>
                <w:szCs w:val="16"/>
              </w:rPr>
              <w:t xml:space="preserve">AUC 0.654–0.670</w:t>
            </w:r>
          </w:p>
        </w:tc>
      </w:tr>
    </w:tbl>
    <w:p/>
    <w:p>
      <w:pPr>
        <w:ind w:firstLine="720"/>
        <w:jc w:val="both"/>
      </w:pPr>
      <w:r>
        <w:t xml:space="preserve">Four practical recommendations follow. First, any variable used to compute the outcome (length/height, age in the formula sense, sex) or strongly determined by it (current weight, MUAC, weight-for-height indicators) must be excluded when the task is to predict stunting risk; if anthropometry is used for screening, the task should be framed as measurement-based classification and not as risk prediction. Second, outcome-derived survey items, such as reasons for supplementary feeding, must be audited and removed. Third, data must be split by household or cluster, and every pre-processing step, including imputation and oversampling, must be fitted inside the training folds [25], [26]. Fourth, results should be reported against a naive baseline and with AUC, PR-AUC, recall, and MCC, following TRIPOD+AI and REFORMS [23], [24]. Reviewers can use a simple red flag: an AUC above 0.95 for stunting from survey data should trigger a check of the feature list.</w:t>
      </w:r>
    </w:p>
    <w:p>
      <w:pPr>
        <w:ind w:firstLine="720"/>
        <w:jc w:val="both"/>
      </w:pPr>
      <w:r>
        <w:t xml:space="preserve">This study has limitations. The data are cross-sectional, so the determinant model identifies associations, not causes. Some determinants were recorded only for the youngest child or for children under 24 months, and missingness was handled by imputation with indicators rather than by multiple imputation. Survey weights were used for prevalence estimation but not for model training. The baseline was obtained with three widely used algorithms under fixed hyperparameters; tuning or richer feature engineering may raise the determinant-only AUC somewhat, but cannot legitimately approach the values produced by leakage. Finally, the models were validated internally on unseen households; external validation on another survey round is needed before any deployment [27].</w:t>
      </w:r>
    </w:p>
    <w:p>
      <w:pPr>
        <w:keepNext/>
        <w:numPr>
          <w:ilvl w:val="0"/>
          <w:numId w:val="15"/>
        </w:numPr>
        <w:tabs>
          <w:tab w:val="left" w:pos="426"/>
        </w:tabs>
        <w:spacing w:before="240" w:after="120"/>
        <w:ind w:left="426" w:hanging="426"/>
      </w:pPr>
      <w:r>
        <w:rPr>
          <w:b/>
          <w:bCs/>
        </w:rPr>
        <w:t xml:space="preserve">CONCLUSION</w:t>
      </w:r>
    </w:p>
    <w:p>
      <w:pPr>
        <w:ind w:firstLine="720"/>
        <w:jc w:val="both"/>
      </w:pPr>
      <w:r>
        <w:t xml:space="preserve">This study set out to quantify how much the use of anthropometric indicators as predictors inflates the reported performance of machine learning models for child stunting. On 84,205 children from SKI 2023, determinant-only models achieved an AUC of 0.654–0.670, whereas adding current anthropometry raised gradient boosting to an AUC of 0.998 and an accuracy of 97.8%, a gain of 0.328 AUC points; height, age, and sex alone produced the same result. Permutation importance showed that leaky models rely almost exclusively on height and age. Near-perfect stunting classifiers therefore reconstruct the WHO label rather than predict risk, and their feature rankings should not guide policy. The leakage-free baseline reported here offers a realistic reference for future work. Further research should validate the determinant model on external survey rounds, incorporate longitudinal and community-level data to improve discrimination, and extend the leakage audit to wasting and underweight, which are defined from weight and height in the same way.</w:t>
      </w:r>
    </w:p>
    <w:p/>
    <w:p>
      <w:pPr>
        <w:keepNext/>
        <w:jc w:val="both"/>
      </w:pPr>
      <w:r>
        <w:rPr>
          <w:b/>
          <w:bCs/>
        </w:rPr>
        <w:t xml:space="preserve">FUNDING INFORMATION</w:t>
      </w:r>
    </w:p>
    <w:p>
      <w:pPr>
        <w:ind w:firstLine="720"/>
        <w:jc w:val="both"/>
      </w:pPr>
      <w:r>
        <w:t xml:space="preserve">Authors state no funding involved.</w:t>
      </w:r>
    </w:p>
    <w:p/>
    <w:p>
      <w:pPr>
        <w:keepNext/>
        <w:jc w:val="both"/>
      </w:pPr>
      <w:r>
        <w:rPr>
          <w:b/>
          <w:bCs/>
        </w:rPr>
        <w:t xml:space="preserve">AUTHOR CONTRIBUTIONS STATEMENT</w:t>
      </w:r>
    </w:p>
    <w:p>
      <w:pPr>
        <w:ind w:firstLine="720"/>
        <w:jc w:val="both"/>
      </w:pPr>
      <w:r>
        <w:t xml:space="preserve">This journal uses the Contributor Roles Taxonomy (CRediT) to recognize individual author contributions, reduce authorship disputes, and facilitate collaboration.</w:t>
      </w:r>
    </w:p>
    <w:tbl>
      <w:tblPr>
        <w:tblW w:w="8496" w:type="dxa"/>
        <w:jc w:val="center"/>
        <w:tblLayout w:type="fixed"/>
        <w:tblCellMar>
          <w:left w:w="57" w:type="dxa"/>
          <w:right w:w="57" w:type="dxa"/>
        </w:tblCellMar>
      </w:tblPr>
      <w:tblGrid>
        <w:gridCol w:w="2154"/>
        <w:gridCol w:w="453"/>
        <w:gridCol w:w="453"/>
        <w:gridCol w:w="453"/>
        <w:gridCol w:w="453"/>
        <w:gridCol w:w="453"/>
        <w:gridCol w:w="453"/>
        <w:gridCol w:w="453"/>
        <w:gridCol w:w="453"/>
        <w:gridCol w:w="453"/>
        <w:gridCol w:w="453"/>
        <w:gridCol w:w="453"/>
        <w:gridCol w:w="453"/>
        <w:gridCol w:w="453"/>
        <w:gridCol w:w="453"/>
      </w:tblGrid>
      <w:tr>
        <w:trPr>
          <w:cantSplit/>
        </w:trPr>
        <w:tc>
          <w:tcPr>
            <w:tcW w:w="2154" w:type="dxa"/>
            <w:tcBorders>
              <w:top w:val="single" w:sz="8" w:space="0" w:color="000000"/>
              <w:left w:val="nil"/>
              <w:bottom w:val="single" w:sz="4" w:space="0" w:color="000000"/>
              <w:right w:val="nil"/>
            </w:tcBorders>
            <w:vAlign w:val="center"/>
          </w:tcPr>
          <w:p>
            <w:pPr>
              <w:keepNext/>
              <w:spacing w:before="20" w:after="20"/>
              <w:jc w:val="left"/>
            </w:pPr>
            <w:r>
              <w:rPr>
                <w:b/>
                <w:bCs/>
                <w:sz w:val="16"/>
                <w:szCs w:val="16"/>
              </w:rPr>
              <w:t xml:space="preserve">Name of Author</w:t>
            </w:r>
          </w:p>
        </w:tc>
        <w:tc>
          <w:tcPr>
            <w:tcW w:w="453" w:type="dxa"/>
            <w:tcBorders>
              <w:top w:val="single" w:sz="8" w:space="0" w:color="000000"/>
              <w:left w:val="nil"/>
              <w:bottom w:val="single" w:sz="4" w:space="0" w:color="000000"/>
              <w:right w:val="nil"/>
            </w:tcBorders>
            <w:vAlign w:val="center"/>
          </w:tcPr>
          <w:p>
            <w:pPr>
              <w:keepNext/>
              <w:spacing w:before="20" w:after="20"/>
              <w:jc w:val="center"/>
            </w:pPr>
            <w:r>
              <w:rPr>
                <w:b/>
                <w:bCs/>
                <w:sz w:val="16"/>
                <w:szCs w:val="16"/>
              </w:rPr>
              <w:t xml:space="preserve">C</w:t>
            </w:r>
          </w:p>
        </w:tc>
        <w:tc>
          <w:tcPr>
            <w:tcW w:w="453" w:type="dxa"/>
            <w:tcBorders>
              <w:top w:val="single" w:sz="8" w:space="0" w:color="000000"/>
              <w:left w:val="nil"/>
              <w:bottom w:val="single" w:sz="4" w:space="0" w:color="000000"/>
              <w:right w:val="nil"/>
            </w:tcBorders>
            <w:vAlign w:val="center"/>
          </w:tcPr>
          <w:p>
            <w:pPr>
              <w:keepNext/>
              <w:spacing w:before="20" w:after="20"/>
              <w:jc w:val="center"/>
            </w:pPr>
            <w:r>
              <w:rPr>
                <w:b/>
                <w:bCs/>
                <w:sz w:val="16"/>
                <w:szCs w:val="16"/>
              </w:rPr>
              <w:t xml:space="preserve">M</w:t>
            </w:r>
          </w:p>
        </w:tc>
        <w:tc>
          <w:tcPr>
            <w:tcW w:w="453" w:type="dxa"/>
            <w:tcBorders>
              <w:top w:val="single" w:sz="8" w:space="0" w:color="000000"/>
              <w:left w:val="nil"/>
              <w:bottom w:val="single" w:sz="4" w:space="0" w:color="000000"/>
              <w:right w:val="nil"/>
            </w:tcBorders>
            <w:vAlign w:val="center"/>
          </w:tcPr>
          <w:p>
            <w:pPr>
              <w:keepNext/>
              <w:spacing w:before="20" w:after="20"/>
              <w:jc w:val="center"/>
            </w:pPr>
            <w:r>
              <w:rPr>
                <w:b/>
                <w:bCs/>
                <w:sz w:val="16"/>
                <w:szCs w:val="16"/>
              </w:rPr>
              <w:t xml:space="preserve">So</w:t>
            </w:r>
          </w:p>
        </w:tc>
        <w:tc>
          <w:tcPr>
            <w:tcW w:w="453" w:type="dxa"/>
            <w:tcBorders>
              <w:top w:val="single" w:sz="8" w:space="0" w:color="000000"/>
              <w:left w:val="nil"/>
              <w:bottom w:val="single" w:sz="4" w:space="0" w:color="000000"/>
              <w:right w:val="nil"/>
            </w:tcBorders>
            <w:vAlign w:val="center"/>
          </w:tcPr>
          <w:p>
            <w:pPr>
              <w:keepNext/>
              <w:spacing w:before="20" w:after="20"/>
              <w:jc w:val="center"/>
            </w:pPr>
            <w:r>
              <w:rPr>
                <w:b/>
                <w:bCs/>
                <w:sz w:val="16"/>
                <w:szCs w:val="16"/>
              </w:rPr>
              <w:t xml:space="preserve">Va</w:t>
            </w:r>
          </w:p>
        </w:tc>
        <w:tc>
          <w:tcPr>
            <w:tcW w:w="453" w:type="dxa"/>
            <w:tcBorders>
              <w:top w:val="single" w:sz="8" w:space="0" w:color="000000"/>
              <w:left w:val="nil"/>
              <w:bottom w:val="single" w:sz="4" w:space="0" w:color="000000"/>
              <w:right w:val="nil"/>
            </w:tcBorders>
            <w:vAlign w:val="center"/>
          </w:tcPr>
          <w:p>
            <w:pPr>
              <w:keepNext/>
              <w:spacing w:before="20" w:after="20"/>
              <w:jc w:val="center"/>
            </w:pPr>
            <w:r>
              <w:rPr>
                <w:b/>
                <w:bCs/>
                <w:sz w:val="16"/>
                <w:szCs w:val="16"/>
              </w:rPr>
              <w:t xml:space="preserve">Fo</w:t>
            </w:r>
          </w:p>
        </w:tc>
        <w:tc>
          <w:tcPr>
            <w:tcW w:w="453" w:type="dxa"/>
            <w:tcBorders>
              <w:top w:val="single" w:sz="8" w:space="0" w:color="000000"/>
              <w:left w:val="nil"/>
              <w:bottom w:val="single" w:sz="4" w:space="0" w:color="000000"/>
              <w:right w:val="nil"/>
            </w:tcBorders>
            <w:vAlign w:val="center"/>
          </w:tcPr>
          <w:p>
            <w:pPr>
              <w:keepNext/>
              <w:spacing w:before="20" w:after="20"/>
              <w:jc w:val="center"/>
            </w:pPr>
            <w:r>
              <w:rPr>
                <w:b/>
                <w:bCs/>
                <w:sz w:val="16"/>
                <w:szCs w:val="16"/>
              </w:rPr>
              <w:t xml:space="preserve">I</w:t>
            </w:r>
          </w:p>
        </w:tc>
        <w:tc>
          <w:tcPr>
            <w:tcW w:w="453" w:type="dxa"/>
            <w:tcBorders>
              <w:top w:val="single" w:sz="8" w:space="0" w:color="000000"/>
              <w:left w:val="nil"/>
              <w:bottom w:val="single" w:sz="4" w:space="0" w:color="000000"/>
              <w:right w:val="nil"/>
            </w:tcBorders>
            <w:vAlign w:val="center"/>
          </w:tcPr>
          <w:p>
            <w:pPr>
              <w:keepNext/>
              <w:spacing w:before="20" w:after="20"/>
              <w:jc w:val="center"/>
            </w:pPr>
            <w:r>
              <w:rPr>
                <w:b/>
                <w:bCs/>
                <w:sz w:val="16"/>
                <w:szCs w:val="16"/>
              </w:rPr>
              <w:t xml:space="preserve">R</w:t>
            </w:r>
          </w:p>
        </w:tc>
        <w:tc>
          <w:tcPr>
            <w:tcW w:w="453" w:type="dxa"/>
            <w:tcBorders>
              <w:top w:val="single" w:sz="8" w:space="0" w:color="000000"/>
              <w:left w:val="nil"/>
              <w:bottom w:val="single" w:sz="4" w:space="0" w:color="000000"/>
              <w:right w:val="nil"/>
            </w:tcBorders>
            <w:vAlign w:val="center"/>
          </w:tcPr>
          <w:p>
            <w:pPr>
              <w:keepNext/>
              <w:spacing w:before="20" w:after="20"/>
              <w:jc w:val="center"/>
            </w:pPr>
            <w:r>
              <w:rPr>
                <w:b/>
                <w:bCs/>
                <w:sz w:val="16"/>
                <w:szCs w:val="16"/>
              </w:rPr>
              <w:t xml:space="preserve">D</w:t>
            </w:r>
          </w:p>
        </w:tc>
        <w:tc>
          <w:tcPr>
            <w:tcW w:w="453" w:type="dxa"/>
            <w:tcBorders>
              <w:top w:val="single" w:sz="8" w:space="0" w:color="000000"/>
              <w:left w:val="nil"/>
              <w:bottom w:val="single" w:sz="4" w:space="0" w:color="000000"/>
              <w:right w:val="nil"/>
            </w:tcBorders>
            <w:vAlign w:val="center"/>
          </w:tcPr>
          <w:p>
            <w:pPr>
              <w:keepNext/>
              <w:spacing w:before="20" w:after="20"/>
              <w:jc w:val="center"/>
            </w:pPr>
            <w:r>
              <w:rPr>
                <w:b/>
                <w:bCs/>
                <w:sz w:val="16"/>
                <w:szCs w:val="16"/>
              </w:rPr>
              <w:t xml:space="preserve">O</w:t>
            </w:r>
          </w:p>
        </w:tc>
        <w:tc>
          <w:tcPr>
            <w:tcW w:w="453" w:type="dxa"/>
            <w:tcBorders>
              <w:top w:val="single" w:sz="8" w:space="0" w:color="000000"/>
              <w:left w:val="nil"/>
              <w:bottom w:val="single" w:sz="4" w:space="0" w:color="000000"/>
              <w:right w:val="nil"/>
            </w:tcBorders>
            <w:vAlign w:val="center"/>
          </w:tcPr>
          <w:p>
            <w:pPr>
              <w:keepNext/>
              <w:spacing w:before="20" w:after="20"/>
              <w:jc w:val="center"/>
            </w:pPr>
            <w:r>
              <w:rPr>
                <w:b/>
                <w:bCs/>
                <w:sz w:val="16"/>
                <w:szCs w:val="16"/>
              </w:rPr>
              <w:t xml:space="preserve">E</w:t>
            </w:r>
          </w:p>
        </w:tc>
        <w:tc>
          <w:tcPr>
            <w:tcW w:w="453" w:type="dxa"/>
            <w:tcBorders>
              <w:top w:val="single" w:sz="8" w:space="0" w:color="000000"/>
              <w:left w:val="nil"/>
              <w:bottom w:val="single" w:sz="4" w:space="0" w:color="000000"/>
              <w:right w:val="nil"/>
            </w:tcBorders>
            <w:vAlign w:val="center"/>
          </w:tcPr>
          <w:p>
            <w:pPr>
              <w:keepNext/>
              <w:spacing w:before="20" w:after="20"/>
              <w:jc w:val="center"/>
            </w:pPr>
            <w:r>
              <w:rPr>
                <w:b/>
                <w:bCs/>
                <w:sz w:val="16"/>
                <w:szCs w:val="16"/>
              </w:rPr>
              <w:t xml:space="preserve">Vi</w:t>
            </w:r>
          </w:p>
        </w:tc>
        <w:tc>
          <w:tcPr>
            <w:tcW w:w="453" w:type="dxa"/>
            <w:tcBorders>
              <w:top w:val="single" w:sz="8" w:space="0" w:color="000000"/>
              <w:left w:val="nil"/>
              <w:bottom w:val="single" w:sz="4" w:space="0" w:color="000000"/>
              <w:right w:val="nil"/>
            </w:tcBorders>
            <w:vAlign w:val="center"/>
          </w:tcPr>
          <w:p>
            <w:pPr>
              <w:keepNext/>
              <w:spacing w:before="20" w:after="20"/>
              <w:jc w:val="center"/>
            </w:pPr>
            <w:r>
              <w:rPr>
                <w:b/>
                <w:bCs/>
                <w:sz w:val="16"/>
                <w:szCs w:val="16"/>
              </w:rPr>
              <w:t xml:space="preserve">Su</w:t>
            </w:r>
          </w:p>
        </w:tc>
        <w:tc>
          <w:tcPr>
            <w:tcW w:w="453" w:type="dxa"/>
            <w:tcBorders>
              <w:top w:val="single" w:sz="8" w:space="0" w:color="000000"/>
              <w:left w:val="nil"/>
              <w:bottom w:val="single" w:sz="4" w:space="0" w:color="000000"/>
              <w:right w:val="nil"/>
            </w:tcBorders>
            <w:vAlign w:val="center"/>
          </w:tcPr>
          <w:p>
            <w:pPr>
              <w:keepNext/>
              <w:spacing w:before="20" w:after="20"/>
              <w:jc w:val="center"/>
            </w:pPr>
            <w:r>
              <w:rPr>
                <w:b/>
                <w:bCs/>
                <w:sz w:val="16"/>
                <w:szCs w:val="16"/>
              </w:rPr>
              <w:t xml:space="preserve">P</w:t>
            </w:r>
          </w:p>
        </w:tc>
        <w:tc>
          <w:tcPr>
            <w:tcW w:w="453" w:type="dxa"/>
            <w:tcBorders>
              <w:top w:val="single" w:sz="8" w:space="0" w:color="000000"/>
              <w:left w:val="nil"/>
              <w:bottom w:val="single" w:sz="4" w:space="0" w:color="000000"/>
              <w:right w:val="nil"/>
            </w:tcBorders>
            <w:vAlign w:val="center"/>
          </w:tcPr>
          <w:p>
            <w:pPr>
              <w:keepNext/>
              <w:spacing w:before="20" w:after="20"/>
              <w:jc w:val="center"/>
            </w:pPr>
            <w:r>
              <w:rPr>
                <w:b/>
                <w:bCs/>
                <w:sz w:val="16"/>
                <w:szCs w:val="16"/>
              </w:rPr>
              <w:t xml:space="preserve">Fu</w:t>
            </w:r>
          </w:p>
        </w:tc>
      </w:tr>
      <w:tr>
        <w:trPr>
          <w:cantSplit/>
        </w:trPr>
        <w:tc>
          <w:tcPr>
            <w:tcW w:w="2154" w:type="dxa"/>
            <w:tcBorders>
              <w:left w:val="nil"/>
              <w:right w:val="nil"/>
            </w:tcBorders>
            <w:vAlign w:val="center"/>
          </w:tcPr>
          <w:p>
            <w:pPr>
              <w:keepNext/>
              <w:spacing w:before="20" w:after="20"/>
              <w:jc w:val="left"/>
            </w:pPr>
            <w:r>
              <w:rPr>
                <w:sz w:val="16"/>
                <w:szCs w:val="16"/>
              </w:rPr>
              <w:t xml:space="preserve">Ahmad Dedi Jubaedi</w:t>
            </w:r>
          </w:p>
        </w:tc>
        <w:tc>
          <w:tcPr>
            <w:tcW w:w="453" w:type="dxa"/>
            <w:tcBorders>
              <w:left w:val="nil"/>
              <w:right w:val="nil"/>
            </w:tcBorders>
            <w:vAlign w:val="center"/>
          </w:tcPr>
          <w:p>
            <w:pPr>
              <w:keepNext/>
              <w:spacing w:before="20" w:after="20"/>
              <w:jc w:val="center"/>
            </w:pPr>
            <w:r>
              <w:rPr>
                <w:sz w:val="16"/>
                <w:szCs w:val="16"/>
              </w:rPr>
              <w:t xml:space="preserve">✓</w:t>
            </w:r>
          </w:p>
        </w:tc>
        <w:tc>
          <w:tcPr>
            <w:tcW w:w="453" w:type="dxa"/>
            <w:tcBorders>
              <w:left w:val="nil"/>
              <w:right w:val="nil"/>
            </w:tcBorders>
            <w:vAlign w:val="center"/>
          </w:tcPr>
          <w:p>
            <w:pPr>
              <w:keepNext/>
              <w:spacing w:before="20" w:after="20"/>
              <w:jc w:val="center"/>
            </w:pPr>
            <w:r>
              <w:rPr>
                <w:sz w:val="16"/>
                <w:szCs w:val="16"/>
              </w:rPr>
              <w:t xml:space="preserve">✓</w:t>
            </w:r>
          </w:p>
        </w:tc>
        <w:tc>
          <w:tcPr>
            <w:tcW w:w="453" w:type="dxa"/>
            <w:tcBorders>
              <w:left w:val="nil"/>
              <w:right w:val="nil"/>
            </w:tcBorders>
            <w:vAlign w:val="center"/>
          </w:tcPr>
          <w:p>
            <w:pPr>
              <w:keepNext/>
              <w:spacing w:before="20" w:after="20"/>
              <w:jc w:val="center"/>
            </w:pPr>
            <w:r>
              <w:rPr>
                <w:sz w:val="16"/>
                <w:szCs w:val="16"/>
              </w:rPr>
              <w:t xml:space="preserve">✓</w:t>
            </w:r>
          </w:p>
        </w:tc>
        <w:tc>
          <w:tcPr>
            <w:tcW w:w="453" w:type="dxa"/>
            <w:tcBorders>
              <w:left w:val="nil"/>
              <w:right w:val="nil"/>
            </w:tcBorders>
            <w:vAlign w:val="center"/>
          </w:tcPr>
          <w:p>
            <w:pPr>
              <w:keepNext/>
              <w:spacing w:before="20" w:after="20"/>
              <w:jc w:val="center"/>
            </w:pPr>
          </w:p>
        </w:tc>
        <w:tc>
          <w:tcPr>
            <w:tcW w:w="453" w:type="dxa"/>
            <w:tcBorders>
              <w:left w:val="nil"/>
              <w:right w:val="nil"/>
            </w:tcBorders>
            <w:vAlign w:val="center"/>
          </w:tcPr>
          <w:p>
            <w:pPr>
              <w:keepNext/>
              <w:spacing w:before="20" w:after="20"/>
              <w:jc w:val="center"/>
            </w:pPr>
            <w:r>
              <w:rPr>
                <w:sz w:val="16"/>
                <w:szCs w:val="16"/>
              </w:rPr>
              <w:t xml:space="preserve">✓</w:t>
            </w:r>
          </w:p>
        </w:tc>
        <w:tc>
          <w:tcPr>
            <w:tcW w:w="453" w:type="dxa"/>
            <w:tcBorders>
              <w:left w:val="nil"/>
              <w:right w:val="nil"/>
            </w:tcBorders>
            <w:vAlign w:val="center"/>
          </w:tcPr>
          <w:p>
            <w:pPr>
              <w:keepNext/>
              <w:spacing w:before="20" w:after="20"/>
              <w:jc w:val="center"/>
            </w:pPr>
            <w:r>
              <w:rPr>
                <w:sz w:val="16"/>
                <w:szCs w:val="16"/>
              </w:rPr>
              <w:t xml:space="preserve">✓</w:t>
            </w:r>
          </w:p>
        </w:tc>
        <w:tc>
          <w:tcPr>
            <w:tcW w:w="453" w:type="dxa"/>
            <w:tcBorders>
              <w:left w:val="nil"/>
              <w:right w:val="nil"/>
            </w:tcBorders>
            <w:vAlign w:val="center"/>
          </w:tcPr>
          <w:p>
            <w:pPr>
              <w:keepNext/>
              <w:spacing w:before="20" w:after="20"/>
              <w:jc w:val="center"/>
            </w:pPr>
          </w:p>
        </w:tc>
        <w:tc>
          <w:tcPr>
            <w:tcW w:w="453" w:type="dxa"/>
            <w:tcBorders>
              <w:left w:val="nil"/>
              <w:right w:val="nil"/>
            </w:tcBorders>
            <w:vAlign w:val="center"/>
          </w:tcPr>
          <w:p>
            <w:pPr>
              <w:keepNext/>
              <w:spacing w:before="20" w:after="20"/>
              <w:jc w:val="center"/>
            </w:pPr>
            <w:r>
              <w:rPr>
                <w:sz w:val="16"/>
                <w:szCs w:val="16"/>
              </w:rPr>
              <w:t xml:space="preserve">✓</w:t>
            </w:r>
          </w:p>
        </w:tc>
        <w:tc>
          <w:tcPr>
            <w:tcW w:w="453" w:type="dxa"/>
            <w:tcBorders>
              <w:left w:val="nil"/>
              <w:right w:val="nil"/>
            </w:tcBorders>
            <w:vAlign w:val="center"/>
          </w:tcPr>
          <w:p>
            <w:pPr>
              <w:keepNext/>
              <w:spacing w:before="20" w:after="20"/>
              <w:jc w:val="center"/>
            </w:pPr>
            <w:r>
              <w:rPr>
                <w:sz w:val="16"/>
                <w:szCs w:val="16"/>
              </w:rPr>
              <w:t xml:space="preserve">✓</w:t>
            </w:r>
          </w:p>
        </w:tc>
        <w:tc>
          <w:tcPr>
            <w:tcW w:w="453" w:type="dxa"/>
            <w:tcBorders>
              <w:left w:val="nil"/>
              <w:right w:val="nil"/>
            </w:tcBorders>
            <w:vAlign w:val="center"/>
          </w:tcPr>
          <w:p>
            <w:pPr>
              <w:keepNext/>
              <w:spacing w:before="20" w:after="20"/>
              <w:jc w:val="center"/>
            </w:pPr>
          </w:p>
        </w:tc>
        <w:tc>
          <w:tcPr>
            <w:tcW w:w="453" w:type="dxa"/>
            <w:tcBorders>
              <w:left w:val="nil"/>
              <w:right w:val="nil"/>
            </w:tcBorders>
            <w:vAlign w:val="center"/>
          </w:tcPr>
          <w:p>
            <w:pPr>
              <w:keepNext/>
              <w:spacing w:before="20" w:after="20"/>
              <w:jc w:val="center"/>
            </w:pPr>
            <w:r>
              <w:rPr>
                <w:sz w:val="16"/>
                <w:szCs w:val="16"/>
              </w:rPr>
              <w:t xml:space="preserve">✓</w:t>
            </w:r>
          </w:p>
        </w:tc>
        <w:tc>
          <w:tcPr>
            <w:tcW w:w="453" w:type="dxa"/>
            <w:tcBorders>
              <w:left w:val="nil"/>
              <w:right w:val="nil"/>
            </w:tcBorders>
            <w:vAlign w:val="center"/>
          </w:tcPr>
          <w:p>
            <w:pPr>
              <w:keepNext/>
              <w:spacing w:before="20" w:after="20"/>
              <w:jc w:val="center"/>
            </w:pPr>
          </w:p>
        </w:tc>
        <w:tc>
          <w:tcPr>
            <w:tcW w:w="453" w:type="dxa"/>
            <w:tcBorders>
              <w:left w:val="nil"/>
              <w:right w:val="nil"/>
            </w:tcBorders>
            <w:vAlign w:val="center"/>
          </w:tcPr>
          <w:p>
            <w:pPr>
              <w:keepNext/>
              <w:spacing w:before="20" w:after="20"/>
              <w:jc w:val="center"/>
            </w:pPr>
            <w:r>
              <w:rPr>
                <w:sz w:val="16"/>
                <w:szCs w:val="16"/>
              </w:rPr>
              <w:t xml:space="preserve">✓</w:t>
            </w:r>
          </w:p>
        </w:tc>
        <w:tc>
          <w:tcPr>
            <w:tcW w:w="453" w:type="dxa"/>
            <w:tcBorders>
              <w:left w:val="nil"/>
              <w:right w:val="nil"/>
            </w:tcBorders>
            <w:vAlign w:val="center"/>
          </w:tcPr>
          <w:p>
            <w:pPr>
              <w:keepNext/>
              <w:spacing w:before="20" w:after="20"/>
              <w:jc w:val="center"/>
            </w:pPr>
          </w:p>
        </w:tc>
      </w:tr>
      <w:tr>
        <w:trPr>
          <w:cantSplit/>
        </w:trPr>
        <w:tc>
          <w:tcPr>
            <w:tcW w:w="2154" w:type="dxa"/>
            <w:tcBorders>
              <w:left w:val="nil"/>
              <w:right w:val="nil"/>
            </w:tcBorders>
            <w:vAlign w:val="center"/>
          </w:tcPr>
          <w:p>
            <w:pPr>
              <w:keepNext/>
              <w:spacing w:before="20" w:after="20"/>
              <w:jc w:val="left"/>
            </w:pPr>
            <w:r>
              <w:rPr>
                <w:sz w:val="16"/>
                <w:szCs w:val="16"/>
              </w:rPr>
              <w:t xml:space="preserve">Pulung Nurtantio Andono</w:t>
            </w:r>
          </w:p>
        </w:tc>
        <w:tc>
          <w:tcPr>
            <w:tcW w:w="453" w:type="dxa"/>
            <w:tcBorders>
              <w:left w:val="nil"/>
              <w:right w:val="nil"/>
            </w:tcBorders>
            <w:vAlign w:val="center"/>
          </w:tcPr>
          <w:p>
            <w:pPr>
              <w:keepNext/>
              <w:spacing w:before="20" w:after="20"/>
              <w:jc w:val="center"/>
            </w:pPr>
            <w:r>
              <w:rPr>
                <w:sz w:val="16"/>
                <w:szCs w:val="16"/>
              </w:rPr>
              <w:t xml:space="preserve">✓</w:t>
            </w:r>
          </w:p>
        </w:tc>
        <w:tc>
          <w:tcPr>
            <w:tcW w:w="453" w:type="dxa"/>
            <w:tcBorders>
              <w:left w:val="nil"/>
              <w:right w:val="nil"/>
            </w:tcBorders>
            <w:vAlign w:val="center"/>
          </w:tcPr>
          <w:p>
            <w:pPr>
              <w:keepNext/>
              <w:spacing w:before="20" w:after="20"/>
              <w:jc w:val="center"/>
            </w:pPr>
            <w:r>
              <w:rPr>
                <w:sz w:val="16"/>
                <w:szCs w:val="16"/>
              </w:rPr>
              <w:t xml:space="preserve">✓</w:t>
            </w:r>
          </w:p>
        </w:tc>
        <w:tc>
          <w:tcPr>
            <w:tcW w:w="453" w:type="dxa"/>
            <w:tcBorders>
              <w:left w:val="nil"/>
              <w:right w:val="nil"/>
            </w:tcBorders>
            <w:vAlign w:val="center"/>
          </w:tcPr>
          <w:p>
            <w:pPr>
              <w:keepNext/>
              <w:spacing w:before="20" w:after="20"/>
              <w:jc w:val="center"/>
            </w:pPr>
          </w:p>
        </w:tc>
        <w:tc>
          <w:tcPr>
            <w:tcW w:w="453" w:type="dxa"/>
            <w:tcBorders>
              <w:left w:val="nil"/>
              <w:right w:val="nil"/>
            </w:tcBorders>
            <w:vAlign w:val="center"/>
          </w:tcPr>
          <w:p>
            <w:pPr>
              <w:keepNext/>
              <w:spacing w:before="20" w:after="20"/>
              <w:jc w:val="center"/>
            </w:pPr>
            <w:r>
              <w:rPr>
                <w:sz w:val="16"/>
                <w:szCs w:val="16"/>
              </w:rPr>
              <w:t xml:space="preserve">✓</w:t>
            </w:r>
          </w:p>
        </w:tc>
        <w:tc>
          <w:tcPr>
            <w:tcW w:w="453" w:type="dxa"/>
            <w:tcBorders>
              <w:left w:val="nil"/>
              <w:right w:val="nil"/>
            </w:tcBorders>
            <w:vAlign w:val="center"/>
          </w:tcPr>
          <w:p>
            <w:pPr>
              <w:keepNext/>
              <w:spacing w:before="20" w:after="20"/>
              <w:jc w:val="center"/>
            </w:pPr>
          </w:p>
        </w:tc>
        <w:tc>
          <w:tcPr>
            <w:tcW w:w="453" w:type="dxa"/>
            <w:tcBorders>
              <w:left w:val="nil"/>
              <w:right w:val="nil"/>
            </w:tcBorders>
            <w:vAlign w:val="center"/>
          </w:tcPr>
          <w:p>
            <w:pPr>
              <w:keepNext/>
              <w:spacing w:before="20" w:after="20"/>
              <w:jc w:val="center"/>
            </w:pPr>
          </w:p>
        </w:tc>
        <w:tc>
          <w:tcPr>
            <w:tcW w:w="453" w:type="dxa"/>
            <w:tcBorders>
              <w:left w:val="nil"/>
              <w:right w:val="nil"/>
            </w:tcBorders>
            <w:vAlign w:val="center"/>
          </w:tcPr>
          <w:p>
            <w:pPr>
              <w:keepNext/>
              <w:spacing w:before="20" w:after="20"/>
              <w:jc w:val="center"/>
            </w:pPr>
          </w:p>
        </w:tc>
        <w:tc>
          <w:tcPr>
            <w:tcW w:w="453" w:type="dxa"/>
            <w:tcBorders>
              <w:left w:val="nil"/>
              <w:right w:val="nil"/>
            </w:tcBorders>
            <w:vAlign w:val="center"/>
          </w:tcPr>
          <w:p>
            <w:pPr>
              <w:keepNext/>
              <w:spacing w:before="20" w:after="20"/>
              <w:jc w:val="center"/>
            </w:pPr>
          </w:p>
        </w:tc>
        <w:tc>
          <w:tcPr>
            <w:tcW w:w="453" w:type="dxa"/>
            <w:tcBorders>
              <w:left w:val="nil"/>
              <w:right w:val="nil"/>
            </w:tcBorders>
            <w:vAlign w:val="center"/>
          </w:tcPr>
          <w:p>
            <w:pPr>
              <w:keepNext/>
              <w:spacing w:before="20" w:after="20"/>
              <w:jc w:val="center"/>
            </w:pPr>
          </w:p>
        </w:tc>
        <w:tc>
          <w:tcPr>
            <w:tcW w:w="453" w:type="dxa"/>
            <w:tcBorders>
              <w:left w:val="nil"/>
              <w:right w:val="nil"/>
            </w:tcBorders>
            <w:vAlign w:val="center"/>
          </w:tcPr>
          <w:p>
            <w:pPr>
              <w:keepNext/>
              <w:spacing w:before="20" w:after="20"/>
              <w:jc w:val="center"/>
            </w:pPr>
            <w:r>
              <w:rPr>
                <w:sz w:val="16"/>
                <w:szCs w:val="16"/>
              </w:rPr>
              <w:t xml:space="preserve">✓</w:t>
            </w:r>
          </w:p>
        </w:tc>
        <w:tc>
          <w:tcPr>
            <w:tcW w:w="453" w:type="dxa"/>
            <w:tcBorders>
              <w:left w:val="nil"/>
              <w:right w:val="nil"/>
            </w:tcBorders>
            <w:vAlign w:val="center"/>
          </w:tcPr>
          <w:p>
            <w:pPr>
              <w:keepNext/>
              <w:spacing w:before="20" w:after="20"/>
              <w:jc w:val="center"/>
            </w:pPr>
          </w:p>
        </w:tc>
        <w:tc>
          <w:tcPr>
            <w:tcW w:w="453" w:type="dxa"/>
            <w:tcBorders>
              <w:left w:val="nil"/>
              <w:right w:val="nil"/>
            </w:tcBorders>
            <w:vAlign w:val="center"/>
          </w:tcPr>
          <w:p>
            <w:pPr>
              <w:keepNext/>
              <w:spacing w:before="20" w:after="20"/>
              <w:jc w:val="center"/>
            </w:pPr>
            <w:r>
              <w:rPr>
                <w:sz w:val="16"/>
                <w:szCs w:val="16"/>
              </w:rPr>
              <w:t xml:space="preserve">✓</w:t>
            </w:r>
          </w:p>
        </w:tc>
        <w:tc>
          <w:tcPr>
            <w:tcW w:w="453" w:type="dxa"/>
            <w:tcBorders>
              <w:left w:val="nil"/>
              <w:right w:val="nil"/>
            </w:tcBorders>
            <w:vAlign w:val="center"/>
          </w:tcPr>
          <w:p>
            <w:pPr>
              <w:keepNext/>
              <w:spacing w:before="20" w:after="20"/>
              <w:jc w:val="center"/>
            </w:pPr>
          </w:p>
        </w:tc>
        <w:tc>
          <w:tcPr>
            <w:tcW w:w="453" w:type="dxa"/>
            <w:tcBorders>
              <w:left w:val="nil"/>
              <w:right w:val="nil"/>
            </w:tcBorders>
            <w:vAlign w:val="center"/>
          </w:tcPr>
          <w:p>
            <w:pPr>
              <w:keepNext/>
              <w:spacing w:before="20" w:after="20"/>
              <w:jc w:val="center"/>
            </w:pPr>
          </w:p>
        </w:tc>
      </w:tr>
      <w:tr>
        <w:trPr>
          <w:cantSplit/>
        </w:trPr>
        <w:tc>
          <w:tcPr>
            <w:tcW w:w="2154" w:type="dxa"/>
            <w:tcBorders>
              <w:left w:val="nil"/>
              <w:right w:val="nil"/>
            </w:tcBorders>
            <w:vAlign w:val="center"/>
          </w:tcPr>
          <w:p>
            <w:pPr>
              <w:keepNext/>
              <w:spacing w:before="20" w:after="20"/>
              <w:jc w:val="left"/>
            </w:pPr>
            <w:r>
              <w:rPr>
                <w:sz w:val="16"/>
                <w:szCs w:val="16"/>
              </w:rPr>
              <w:t xml:space="preserve">Nova Rijati</w:t>
            </w:r>
          </w:p>
        </w:tc>
        <w:tc>
          <w:tcPr>
            <w:tcW w:w="453" w:type="dxa"/>
            <w:tcBorders>
              <w:left w:val="nil"/>
              <w:right w:val="nil"/>
            </w:tcBorders>
            <w:vAlign w:val="center"/>
          </w:tcPr>
          <w:p>
            <w:pPr>
              <w:keepNext/>
              <w:spacing w:before="20" w:after="20"/>
              <w:jc w:val="center"/>
            </w:pPr>
          </w:p>
        </w:tc>
        <w:tc>
          <w:tcPr>
            <w:tcW w:w="453" w:type="dxa"/>
            <w:tcBorders>
              <w:left w:val="nil"/>
              <w:right w:val="nil"/>
            </w:tcBorders>
            <w:vAlign w:val="center"/>
          </w:tcPr>
          <w:p>
            <w:pPr>
              <w:keepNext/>
              <w:spacing w:before="20" w:after="20"/>
              <w:jc w:val="center"/>
            </w:pPr>
            <w:r>
              <w:rPr>
                <w:sz w:val="16"/>
                <w:szCs w:val="16"/>
              </w:rPr>
              <w:t xml:space="preserve">✓</w:t>
            </w:r>
          </w:p>
        </w:tc>
        <w:tc>
          <w:tcPr>
            <w:tcW w:w="453" w:type="dxa"/>
            <w:tcBorders>
              <w:left w:val="nil"/>
              <w:right w:val="nil"/>
            </w:tcBorders>
            <w:vAlign w:val="center"/>
          </w:tcPr>
          <w:p>
            <w:pPr>
              <w:keepNext/>
              <w:spacing w:before="20" w:after="20"/>
              <w:jc w:val="center"/>
            </w:pPr>
          </w:p>
        </w:tc>
        <w:tc>
          <w:tcPr>
            <w:tcW w:w="453" w:type="dxa"/>
            <w:tcBorders>
              <w:left w:val="nil"/>
              <w:right w:val="nil"/>
            </w:tcBorders>
            <w:vAlign w:val="center"/>
          </w:tcPr>
          <w:p>
            <w:pPr>
              <w:keepNext/>
              <w:spacing w:before="20" w:after="20"/>
              <w:jc w:val="center"/>
            </w:pPr>
            <w:r>
              <w:rPr>
                <w:sz w:val="16"/>
                <w:szCs w:val="16"/>
              </w:rPr>
              <w:t xml:space="preserve">✓</w:t>
            </w:r>
          </w:p>
        </w:tc>
        <w:tc>
          <w:tcPr>
            <w:tcW w:w="453" w:type="dxa"/>
            <w:tcBorders>
              <w:left w:val="nil"/>
              <w:right w:val="nil"/>
            </w:tcBorders>
            <w:vAlign w:val="center"/>
          </w:tcPr>
          <w:p>
            <w:pPr>
              <w:keepNext/>
              <w:spacing w:before="20" w:after="20"/>
              <w:jc w:val="center"/>
            </w:pPr>
          </w:p>
        </w:tc>
        <w:tc>
          <w:tcPr>
            <w:tcW w:w="453" w:type="dxa"/>
            <w:tcBorders>
              <w:left w:val="nil"/>
              <w:right w:val="nil"/>
            </w:tcBorders>
            <w:vAlign w:val="center"/>
          </w:tcPr>
          <w:p>
            <w:pPr>
              <w:keepNext/>
              <w:spacing w:before="20" w:after="20"/>
              <w:jc w:val="center"/>
            </w:pPr>
          </w:p>
        </w:tc>
        <w:tc>
          <w:tcPr>
            <w:tcW w:w="453" w:type="dxa"/>
            <w:tcBorders>
              <w:left w:val="nil"/>
              <w:right w:val="nil"/>
            </w:tcBorders>
            <w:vAlign w:val="center"/>
          </w:tcPr>
          <w:p>
            <w:pPr>
              <w:keepNext/>
              <w:spacing w:before="20" w:after="20"/>
              <w:jc w:val="center"/>
            </w:pPr>
          </w:p>
        </w:tc>
        <w:tc>
          <w:tcPr>
            <w:tcW w:w="453" w:type="dxa"/>
            <w:tcBorders>
              <w:left w:val="nil"/>
              <w:right w:val="nil"/>
            </w:tcBorders>
            <w:vAlign w:val="center"/>
          </w:tcPr>
          <w:p>
            <w:pPr>
              <w:keepNext/>
              <w:spacing w:before="20" w:after="20"/>
              <w:jc w:val="center"/>
            </w:pPr>
          </w:p>
        </w:tc>
        <w:tc>
          <w:tcPr>
            <w:tcW w:w="453" w:type="dxa"/>
            <w:tcBorders>
              <w:left w:val="nil"/>
              <w:right w:val="nil"/>
            </w:tcBorders>
            <w:vAlign w:val="center"/>
          </w:tcPr>
          <w:p>
            <w:pPr>
              <w:keepNext/>
              <w:spacing w:before="20" w:after="20"/>
              <w:jc w:val="center"/>
            </w:pPr>
          </w:p>
        </w:tc>
        <w:tc>
          <w:tcPr>
            <w:tcW w:w="453" w:type="dxa"/>
            <w:tcBorders>
              <w:left w:val="nil"/>
              <w:right w:val="nil"/>
            </w:tcBorders>
            <w:vAlign w:val="center"/>
          </w:tcPr>
          <w:p>
            <w:pPr>
              <w:keepNext/>
              <w:spacing w:before="20" w:after="20"/>
              <w:jc w:val="center"/>
            </w:pPr>
            <w:r>
              <w:rPr>
                <w:sz w:val="16"/>
                <w:szCs w:val="16"/>
              </w:rPr>
              <w:t xml:space="preserve">✓</w:t>
            </w:r>
          </w:p>
        </w:tc>
        <w:tc>
          <w:tcPr>
            <w:tcW w:w="453" w:type="dxa"/>
            <w:tcBorders>
              <w:left w:val="nil"/>
              <w:right w:val="nil"/>
            </w:tcBorders>
            <w:vAlign w:val="center"/>
          </w:tcPr>
          <w:p>
            <w:pPr>
              <w:keepNext/>
              <w:spacing w:before="20" w:after="20"/>
              <w:jc w:val="center"/>
            </w:pPr>
          </w:p>
        </w:tc>
        <w:tc>
          <w:tcPr>
            <w:tcW w:w="453" w:type="dxa"/>
            <w:tcBorders>
              <w:left w:val="nil"/>
              <w:right w:val="nil"/>
            </w:tcBorders>
            <w:vAlign w:val="center"/>
          </w:tcPr>
          <w:p>
            <w:pPr>
              <w:keepNext/>
              <w:spacing w:before="20" w:after="20"/>
              <w:jc w:val="center"/>
            </w:pPr>
            <w:r>
              <w:rPr>
                <w:sz w:val="16"/>
                <w:szCs w:val="16"/>
              </w:rPr>
              <w:t xml:space="preserve">✓</w:t>
            </w:r>
          </w:p>
        </w:tc>
        <w:tc>
          <w:tcPr>
            <w:tcW w:w="453" w:type="dxa"/>
            <w:tcBorders>
              <w:left w:val="nil"/>
              <w:right w:val="nil"/>
            </w:tcBorders>
            <w:vAlign w:val="center"/>
          </w:tcPr>
          <w:p>
            <w:pPr>
              <w:keepNext/>
              <w:spacing w:before="20" w:after="20"/>
              <w:jc w:val="center"/>
            </w:pPr>
          </w:p>
        </w:tc>
        <w:tc>
          <w:tcPr>
            <w:tcW w:w="453" w:type="dxa"/>
            <w:tcBorders>
              <w:left w:val="nil"/>
              <w:right w:val="nil"/>
            </w:tcBorders>
            <w:vAlign w:val="center"/>
          </w:tcPr>
          <w:p>
            <w:pPr>
              <w:keepNext/>
              <w:spacing w:before="20" w:after="20"/>
              <w:jc w:val="center"/>
            </w:pPr>
          </w:p>
        </w:tc>
      </w:tr>
      <w:tr>
        <w:trPr>
          <w:cantSplit/>
        </w:trPr>
        <w:tc>
          <w:tcPr>
            <w:tcW w:w="2154" w:type="dxa"/>
            <w:tcBorders>
              <w:left w:val="nil"/>
              <w:bottom w:val="single" w:sz="8" w:space="0" w:color="000000"/>
              <w:right w:val="nil"/>
            </w:tcBorders>
            <w:vAlign w:val="center"/>
          </w:tcPr>
          <w:p>
            <w:pPr>
              <w:spacing w:before="20" w:after="20"/>
              <w:jc w:val="left"/>
            </w:pPr>
            <w:r>
              <w:rPr>
                <w:sz w:val="16"/>
                <w:szCs w:val="16"/>
              </w:rPr>
              <w:t xml:space="preserve">Ahmad Zainul Fanani</w:t>
            </w:r>
          </w:p>
        </w:tc>
        <w:tc>
          <w:tcPr>
            <w:tcW w:w="453" w:type="dxa"/>
            <w:tcBorders>
              <w:left w:val="nil"/>
              <w:bottom w:val="single" w:sz="8" w:space="0" w:color="000000"/>
              <w:right w:val="nil"/>
            </w:tcBorders>
            <w:vAlign w:val="center"/>
          </w:tcPr>
          <w:p>
            <w:pPr>
              <w:spacing w:before="20" w:after="20"/>
              <w:jc w:val="center"/>
            </w:pPr>
          </w:p>
        </w:tc>
        <w:tc>
          <w:tcPr>
            <w:tcW w:w="453" w:type="dxa"/>
            <w:tcBorders>
              <w:left w:val="nil"/>
              <w:bottom w:val="single" w:sz="8" w:space="0" w:color="000000"/>
              <w:right w:val="nil"/>
            </w:tcBorders>
            <w:vAlign w:val="center"/>
          </w:tcPr>
          <w:p>
            <w:pPr>
              <w:spacing w:before="20" w:after="20"/>
              <w:jc w:val="center"/>
            </w:pPr>
          </w:p>
        </w:tc>
        <w:tc>
          <w:tcPr>
            <w:tcW w:w="453" w:type="dxa"/>
            <w:tcBorders>
              <w:left w:val="nil"/>
              <w:bottom w:val="single" w:sz="8" w:space="0" w:color="000000"/>
              <w:right w:val="nil"/>
            </w:tcBorders>
            <w:vAlign w:val="center"/>
          </w:tcPr>
          <w:p>
            <w:pPr>
              <w:spacing w:before="20" w:after="20"/>
              <w:jc w:val="center"/>
            </w:pPr>
          </w:p>
        </w:tc>
        <w:tc>
          <w:tcPr>
            <w:tcW w:w="453" w:type="dxa"/>
            <w:tcBorders>
              <w:left w:val="nil"/>
              <w:bottom w:val="single" w:sz="8" w:space="0" w:color="000000"/>
              <w:right w:val="nil"/>
            </w:tcBorders>
            <w:vAlign w:val="center"/>
          </w:tcPr>
          <w:p>
            <w:pPr>
              <w:spacing w:before="20" w:after="20"/>
              <w:jc w:val="center"/>
            </w:pPr>
            <w:r>
              <w:rPr>
                <w:sz w:val="16"/>
                <w:szCs w:val="16"/>
              </w:rPr>
              <w:t xml:space="preserve">✓</w:t>
            </w:r>
          </w:p>
        </w:tc>
        <w:tc>
          <w:tcPr>
            <w:tcW w:w="453" w:type="dxa"/>
            <w:tcBorders>
              <w:left w:val="nil"/>
              <w:bottom w:val="single" w:sz="8" w:space="0" w:color="000000"/>
              <w:right w:val="nil"/>
            </w:tcBorders>
            <w:vAlign w:val="center"/>
          </w:tcPr>
          <w:p>
            <w:pPr>
              <w:spacing w:before="20" w:after="20"/>
              <w:jc w:val="center"/>
            </w:pPr>
          </w:p>
        </w:tc>
        <w:tc>
          <w:tcPr>
            <w:tcW w:w="453" w:type="dxa"/>
            <w:tcBorders>
              <w:left w:val="nil"/>
              <w:bottom w:val="single" w:sz="8" w:space="0" w:color="000000"/>
              <w:right w:val="nil"/>
            </w:tcBorders>
            <w:vAlign w:val="center"/>
          </w:tcPr>
          <w:p>
            <w:pPr>
              <w:spacing w:before="20" w:after="20"/>
              <w:jc w:val="center"/>
            </w:pPr>
          </w:p>
        </w:tc>
        <w:tc>
          <w:tcPr>
            <w:tcW w:w="453" w:type="dxa"/>
            <w:tcBorders>
              <w:left w:val="nil"/>
              <w:bottom w:val="single" w:sz="8" w:space="0" w:color="000000"/>
              <w:right w:val="nil"/>
            </w:tcBorders>
            <w:vAlign w:val="center"/>
          </w:tcPr>
          <w:p>
            <w:pPr>
              <w:spacing w:before="20" w:after="20"/>
              <w:jc w:val="center"/>
            </w:pPr>
            <w:r>
              <w:rPr>
                <w:sz w:val="16"/>
                <w:szCs w:val="16"/>
              </w:rPr>
              <w:t xml:space="preserve">✓</w:t>
            </w:r>
          </w:p>
        </w:tc>
        <w:tc>
          <w:tcPr>
            <w:tcW w:w="453" w:type="dxa"/>
            <w:tcBorders>
              <w:left w:val="nil"/>
              <w:bottom w:val="single" w:sz="8" w:space="0" w:color="000000"/>
              <w:right w:val="nil"/>
            </w:tcBorders>
            <w:vAlign w:val="center"/>
          </w:tcPr>
          <w:p>
            <w:pPr>
              <w:spacing w:before="20" w:after="20"/>
              <w:jc w:val="center"/>
            </w:pPr>
          </w:p>
        </w:tc>
        <w:tc>
          <w:tcPr>
            <w:tcW w:w="453" w:type="dxa"/>
            <w:tcBorders>
              <w:left w:val="nil"/>
              <w:bottom w:val="single" w:sz="8" w:space="0" w:color="000000"/>
              <w:right w:val="nil"/>
            </w:tcBorders>
            <w:vAlign w:val="center"/>
          </w:tcPr>
          <w:p>
            <w:pPr>
              <w:spacing w:before="20" w:after="20"/>
              <w:jc w:val="center"/>
            </w:pPr>
          </w:p>
        </w:tc>
        <w:tc>
          <w:tcPr>
            <w:tcW w:w="453" w:type="dxa"/>
            <w:tcBorders>
              <w:left w:val="nil"/>
              <w:bottom w:val="single" w:sz="8" w:space="0" w:color="000000"/>
              <w:right w:val="nil"/>
            </w:tcBorders>
            <w:vAlign w:val="center"/>
          </w:tcPr>
          <w:p>
            <w:pPr>
              <w:spacing w:before="20" w:after="20"/>
              <w:jc w:val="center"/>
            </w:pPr>
            <w:r>
              <w:rPr>
                <w:sz w:val="16"/>
                <w:szCs w:val="16"/>
              </w:rPr>
              <w:t xml:space="preserve">✓</w:t>
            </w:r>
          </w:p>
        </w:tc>
        <w:tc>
          <w:tcPr>
            <w:tcW w:w="453" w:type="dxa"/>
            <w:tcBorders>
              <w:left w:val="nil"/>
              <w:bottom w:val="single" w:sz="8" w:space="0" w:color="000000"/>
              <w:right w:val="nil"/>
            </w:tcBorders>
            <w:vAlign w:val="center"/>
          </w:tcPr>
          <w:p>
            <w:pPr>
              <w:spacing w:before="20" w:after="20"/>
              <w:jc w:val="center"/>
            </w:pPr>
          </w:p>
        </w:tc>
        <w:tc>
          <w:tcPr>
            <w:tcW w:w="453" w:type="dxa"/>
            <w:tcBorders>
              <w:left w:val="nil"/>
              <w:bottom w:val="single" w:sz="8" w:space="0" w:color="000000"/>
              <w:right w:val="nil"/>
            </w:tcBorders>
            <w:vAlign w:val="center"/>
          </w:tcPr>
          <w:p>
            <w:pPr>
              <w:spacing w:before="20" w:after="20"/>
              <w:jc w:val="center"/>
            </w:pPr>
            <w:r>
              <w:rPr>
                <w:sz w:val="16"/>
                <w:szCs w:val="16"/>
              </w:rPr>
              <w:t xml:space="preserve">✓</w:t>
            </w:r>
          </w:p>
        </w:tc>
        <w:tc>
          <w:tcPr>
            <w:tcW w:w="453" w:type="dxa"/>
            <w:tcBorders>
              <w:left w:val="nil"/>
              <w:bottom w:val="single" w:sz="8" w:space="0" w:color="000000"/>
              <w:right w:val="nil"/>
            </w:tcBorders>
            <w:vAlign w:val="center"/>
          </w:tcPr>
          <w:p>
            <w:pPr>
              <w:spacing w:before="20" w:after="20"/>
              <w:jc w:val="center"/>
            </w:pPr>
          </w:p>
        </w:tc>
        <w:tc>
          <w:tcPr>
            <w:tcW w:w="453" w:type="dxa"/>
            <w:tcBorders>
              <w:left w:val="nil"/>
              <w:bottom w:val="single" w:sz="8" w:space="0" w:color="000000"/>
              <w:right w:val="nil"/>
            </w:tcBorders>
            <w:vAlign w:val="center"/>
          </w:tcPr>
          <w:p>
            <w:pPr>
              <w:spacing w:before="20" w:after="20"/>
              <w:jc w:val="center"/>
            </w:pPr>
          </w:p>
        </w:tc>
      </w:tr>
    </w:tbl>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63"/>
        <w:gridCol w:w="3257"/>
        <w:gridCol w:w="2647"/>
      </w:tblGrid>
      <w:tr w:rsidR="00782B95" w:rsidRPr="003420B5" w14:paraId="1B7B8007" w14:textId="77777777" w:rsidTr="009B6A87">
        <w:trPr>
          <w:jc w:val="center"/>
        </w:trPr>
        <w:tc>
          <w:tcPr>
            <w:tcW w:w="2863" w:type="dxa"/>
          </w:tcPr>
          <w:p w14:paraId="09D0AA54" w14:textId="77777777" w:rsidR="00782B95" w:rsidRPr="003420B5" w:rsidRDefault="00782B95" w:rsidP="009B6A87">
            <w:pPr>
              <w:tabs>
                <w:tab w:val="left" w:pos="284"/>
                <w:tab w:val="left" w:pos="426"/>
              </w:tabs>
              <w:jc w:val="both"/>
            </w:pPr>
            <w:r w:rsidRPr="003420B5">
              <w:t>C</w:t>
            </w:r>
            <w:r w:rsidRPr="003420B5">
              <w:tab/>
              <w:t xml:space="preserve">: </w:t>
            </w:r>
            <w:r w:rsidRPr="003420B5">
              <w:tab/>
            </w:r>
            <w:r w:rsidRPr="003420B5">
              <w:rPr>
                <w:b/>
                <w:bCs/>
              </w:rPr>
              <w:t>C</w:t>
            </w:r>
            <w:r w:rsidRPr="003420B5">
              <w:rPr>
                <w:sz w:val="16"/>
                <w:szCs w:val="16"/>
              </w:rPr>
              <w:t>onceptualization</w:t>
            </w:r>
          </w:p>
          <w:p w14:paraId="252313F0" w14:textId="77777777" w:rsidR="00782B95" w:rsidRPr="003420B5" w:rsidRDefault="00782B95" w:rsidP="009B6A87">
            <w:pPr>
              <w:tabs>
                <w:tab w:val="left" w:pos="284"/>
                <w:tab w:val="left" w:pos="426"/>
              </w:tabs>
              <w:jc w:val="both"/>
            </w:pPr>
            <w:r w:rsidRPr="003420B5">
              <w:t>M</w:t>
            </w:r>
            <w:r w:rsidRPr="003420B5">
              <w:tab/>
              <w:t xml:space="preserve">: </w:t>
            </w:r>
            <w:r w:rsidRPr="003420B5">
              <w:tab/>
            </w:r>
            <w:r w:rsidRPr="003420B5">
              <w:rPr>
                <w:b/>
                <w:bCs/>
              </w:rPr>
              <w:t>M</w:t>
            </w:r>
            <w:r w:rsidRPr="003420B5">
              <w:rPr>
                <w:sz w:val="16"/>
                <w:szCs w:val="16"/>
              </w:rPr>
              <w:t>ethodology</w:t>
            </w:r>
          </w:p>
          <w:p w14:paraId="4DC0933C" w14:textId="77777777" w:rsidR="00782B95" w:rsidRPr="003420B5" w:rsidRDefault="00782B95" w:rsidP="009B6A87">
            <w:pPr>
              <w:tabs>
                <w:tab w:val="left" w:pos="284"/>
                <w:tab w:val="left" w:pos="426"/>
              </w:tabs>
              <w:jc w:val="both"/>
            </w:pPr>
            <w:r w:rsidRPr="003420B5">
              <w:t>So</w:t>
            </w:r>
            <w:r w:rsidRPr="003420B5">
              <w:tab/>
              <w:t xml:space="preserve">: </w:t>
            </w:r>
            <w:r w:rsidRPr="003420B5">
              <w:tab/>
            </w:r>
            <w:r w:rsidRPr="003420B5">
              <w:rPr>
                <w:b/>
                <w:bCs/>
              </w:rPr>
              <w:t>So</w:t>
            </w:r>
            <w:r w:rsidRPr="003420B5">
              <w:rPr>
                <w:sz w:val="16"/>
                <w:szCs w:val="16"/>
              </w:rPr>
              <w:t>ftware</w:t>
            </w:r>
          </w:p>
          <w:p w14:paraId="6FDD55B6" w14:textId="77777777" w:rsidR="00782B95" w:rsidRPr="003420B5" w:rsidRDefault="00782B95" w:rsidP="009B6A87">
            <w:pPr>
              <w:tabs>
                <w:tab w:val="left" w:pos="284"/>
                <w:tab w:val="left" w:pos="426"/>
              </w:tabs>
              <w:jc w:val="both"/>
            </w:pPr>
            <w:r w:rsidRPr="003420B5">
              <w:t>Va</w:t>
            </w:r>
            <w:r w:rsidRPr="003420B5">
              <w:tab/>
              <w:t xml:space="preserve">: </w:t>
            </w:r>
            <w:r w:rsidRPr="003420B5">
              <w:tab/>
            </w:r>
            <w:r w:rsidRPr="003420B5">
              <w:rPr>
                <w:b/>
                <w:bCs/>
              </w:rPr>
              <w:t>Va</w:t>
            </w:r>
            <w:r w:rsidRPr="003420B5">
              <w:rPr>
                <w:sz w:val="16"/>
                <w:szCs w:val="16"/>
              </w:rPr>
              <w:t>lidation</w:t>
            </w:r>
          </w:p>
          <w:p w14:paraId="192E1D0F" w14:textId="77777777" w:rsidR="00782B95" w:rsidRPr="003420B5" w:rsidRDefault="00782B95" w:rsidP="009B6A87">
            <w:pPr>
              <w:tabs>
                <w:tab w:val="left" w:pos="284"/>
                <w:tab w:val="left" w:pos="426"/>
              </w:tabs>
              <w:jc w:val="both"/>
            </w:pPr>
            <w:r w:rsidRPr="003420B5">
              <w:t>Fo</w:t>
            </w:r>
            <w:r w:rsidRPr="003420B5">
              <w:tab/>
              <w:t xml:space="preserve">: </w:t>
            </w:r>
            <w:r w:rsidRPr="003420B5">
              <w:tab/>
            </w:r>
            <w:r w:rsidRPr="003420B5">
              <w:rPr>
                <w:b/>
                <w:bCs/>
              </w:rPr>
              <w:t>Fo</w:t>
            </w:r>
            <w:r w:rsidRPr="003420B5">
              <w:rPr>
                <w:sz w:val="16"/>
                <w:szCs w:val="16"/>
              </w:rPr>
              <w:t>rmal analysis</w:t>
            </w:r>
          </w:p>
        </w:tc>
        <w:tc>
          <w:tcPr>
            <w:tcW w:w="3257" w:type="dxa"/>
          </w:tcPr>
          <w:p w14:paraId="191D7855" w14:textId="77777777" w:rsidR="00782B95" w:rsidRPr="003420B5" w:rsidRDefault="00782B95" w:rsidP="009B6A87">
            <w:pPr>
              <w:tabs>
                <w:tab w:val="left" w:pos="284"/>
                <w:tab w:val="left" w:pos="426"/>
              </w:tabs>
              <w:jc w:val="both"/>
            </w:pPr>
            <w:r w:rsidRPr="003420B5">
              <w:t>I</w:t>
            </w:r>
            <w:r w:rsidRPr="003420B5">
              <w:tab/>
              <w:t xml:space="preserve">: </w:t>
            </w:r>
            <w:r w:rsidRPr="003420B5">
              <w:tab/>
            </w:r>
            <w:r w:rsidRPr="003420B5">
              <w:rPr>
                <w:b/>
                <w:bCs/>
              </w:rPr>
              <w:t>I</w:t>
            </w:r>
            <w:r w:rsidRPr="003420B5">
              <w:rPr>
                <w:sz w:val="16"/>
                <w:szCs w:val="16"/>
              </w:rPr>
              <w:t>nvestigation</w:t>
            </w:r>
          </w:p>
          <w:p w14:paraId="1A9E0AFB" w14:textId="77777777" w:rsidR="00782B95" w:rsidRPr="003420B5" w:rsidRDefault="00782B95" w:rsidP="009B6A87">
            <w:pPr>
              <w:tabs>
                <w:tab w:val="left" w:pos="284"/>
                <w:tab w:val="left" w:pos="426"/>
              </w:tabs>
              <w:jc w:val="both"/>
            </w:pPr>
            <w:r w:rsidRPr="003420B5">
              <w:t>R</w:t>
            </w:r>
            <w:r w:rsidRPr="003420B5">
              <w:tab/>
              <w:t xml:space="preserve">: </w:t>
            </w:r>
            <w:r w:rsidRPr="003420B5">
              <w:tab/>
            </w:r>
            <w:r w:rsidRPr="003420B5">
              <w:rPr>
                <w:b/>
                <w:bCs/>
              </w:rPr>
              <w:t>R</w:t>
            </w:r>
            <w:r w:rsidRPr="003420B5">
              <w:rPr>
                <w:sz w:val="16"/>
                <w:szCs w:val="16"/>
              </w:rPr>
              <w:t>esources</w:t>
            </w:r>
          </w:p>
          <w:p w14:paraId="3C17F834" w14:textId="77777777" w:rsidR="00782B95" w:rsidRPr="003420B5" w:rsidRDefault="00782B95" w:rsidP="009B6A87">
            <w:pPr>
              <w:tabs>
                <w:tab w:val="left" w:pos="284"/>
                <w:tab w:val="left" w:pos="426"/>
              </w:tabs>
              <w:jc w:val="both"/>
            </w:pPr>
            <w:r w:rsidRPr="003420B5">
              <w:t>D</w:t>
            </w:r>
            <w:r w:rsidRPr="003420B5">
              <w:tab/>
              <w:t>:</w:t>
            </w:r>
            <w:r w:rsidRPr="003420B5">
              <w:tab/>
            </w:r>
            <w:r w:rsidRPr="003420B5">
              <w:rPr>
                <w:b/>
                <w:bCs/>
              </w:rPr>
              <w:t>D</w:t>
            </w:r>
            <w:r w:rsidRPr="003420B5">
              <w:rPr>
                <w:sz w:val="16"/>
                <w:szCs w:val="16"/>
              </w:rPr>
              <w:t>ata Curation</w:t>
            </w:r>
          </w:p>
          <w:p w14:paraId="7E99C57E" w14:textId="77777777" w:rsidR="00782B95" w:rsidRPr="003420B5" w:rsidRDefault="00782B95" w:rsidP="009B6A87">
            <w:pPr>
              <w:tabs>
                <w:tab w:val="left" w:pos="284"/>
                <w:tab w:val="left" w:pos="426"/>
              </w:tabs>
              <w:jc w:val="both"/>
            </w:pPr>
            <w:r w:rsidRPr="003420B5">
              <w:t>O</w:t>
            </w:r>
            <w:r w:rsidRPr="003420B5">
              <w:tab/>
              <w:t>:</w:t>
            </w:r>
            <w:r w:rsidRPr="003420B5">
              <w:tab/>
            </w:r>
            <w:r w:rsidRPr="003420B5">
              <w:rPr>
                <w:sz w:val="16"/>
                <w:szCs w:val="16"/>
              </w:rPr>
              <w:t>Writing -</w:t>
            </w:r>
            <w:r w:rsidRPr="003420B5">
              <w:t xml:space="preserve"> </w:t>
            </w:r>
            <w:r w:rsidRPr="003420B5">
              <w:rPr>
                <w:b/>
                <w:bCs/>
              </w:rPr>
              <w:t>O</w:t>
            </w:r>
            <w:r w:rsidRPr="003420B5">
              <w:rPr>
                <w:sz w:val="16"/>
                <w:szCs w:val="16"/>
              </w:rPr>
              <w:t>riginal Draft</w:t>
            </w:r>
          </w:p>
          <w:p w14:paraId="6C3A7479" w14:textId="77777777" w:rsidR="00782B95" w:rsidRPr="003420B5" w:rsidRDefault="00782B95" w:rsidP="009B6A87">
            <w:pPr>
              <w:tabs>
                <w:tab w:val="left" w:pos="284"/>
                <w:tab w:val="left" w:pos="426"/>
              </w:tabs>
              <w:jc w:val="both"/>
            </w:pPr>
            <w:r w:rsidRPr="003420B5">
              <w:t>E</w:t>
            </w:r>
            <w:r w:rsidRPr="003420B5">
              <w:tab/>
              <w:t>:</w:t>
            </w:r>
            <w:r w:rsidRPr="003420B5">
              <w:tab/>
            </w:r>
            <w:r w:rsidRPr="003420B5">
              <w:rPr>
                <w:sz w:val="16"/>
                <w:szCs w:val="16"/>
              </w:rPr>
              <w:t>Writing - Review &amp;</w:t>
            </w:r>
            <w:r w:rsidRPr="003420B5">
              <w:t xml:space="preserve"> </w:t>
            </w:r>
            <w:r w:rsidRPr="003420B5">
              <w:rPr>
                <w:b/>
                <w:bCs/>
              </w:rPr>
              <w:t>E</w:t>
            </w:r>
            <w:r w:rsidRPr="003420B5">
              <w:rPr>
                <w:sz w:val="16"/>
                <w:szCs w:val="16"/>
              </w:rPr>
              <w:t>diting</w:t>
            </w:r>
          </w:p>
        </w:tc>
        <w:tc>
          <w:tcPr>
            <w:tcW w:w="2647" w:type="dxa"/>
          </w:tcPr>
          <w:p w14:paraId="19932FFC" w14:textId="77777777" w:rsidR="00782B95" w:rsidRPr="003420B5" w:rsidRDefault="00782B95" w:rsidP="009B6A87">
            <w:pPr>
              <w:tabs>
                <w:tab w:val="left" w:pos="284"/>
                <w:tab w:val="left" w:pos="426"/>
              </w:tabs>
              <w:jc w:val="both"/>
            </w:pPr>
            <w:r w:rsidRPr="003420B5">
              <w:t>Vi</w:t>
            </w:r>
            <w:r w:rsidRPr="003420B5">
              <w:tab/>
              <w:t xml:space="preserve">: </w:t>
            </w:r>
            <w:r w:rsidRPr="003420B5">
              <w:tab/>
            </w:r>
            <w:r w:rsidRPr="003420B5">
              <w:rPr>
                <w:b/>
                <w:bCs/>
              </w:rPr>
              <w:t>Vi</w:t>
            </w:r>
            <w:r w:rsidRPr="003420B5">
              <w:rPr>
                <w:sz w:val="16"/>
                <w:szCs w:val="16"/>
              </w:rPr>
              <w:t>sualization</w:t>
            </w:r>
          </w:p>
          <w:p w14:paraId="3EA48AEC" w14:textId="77777777" w:rsidR="00782B95" w:rsidRPr="003420B5" w:rsidRDefault="00782B95" w:rsidP="009B6A87">
            <w:pPr>
              <w:tabs>
                <w:tab w:val="left" w:pos="284"/>
                <w:tab w:val="left" w:pos="426"/>
              </w:tabs>
              <w:jc w:val="both"/>
            </w:pPr>
            <w:r w:rsidRPr="003420B5">
              <w:t>Su</w:t>
            </w:r>
            <w:r w:rsidRPr="003420B5">
              <w:tab/>
              <w:t xml:space="preserve">: </w:t>
            </w:r>
            <w:r w:rsidRPr="003420B5">
              <w:tab/>
            </w:r>
            <w:r w:rsidRPr="003420B5">
              <w:rPr>
                <w:b/>
                <w:bCs/>
              </w:rPr>
              <w:t>Su</w:t>
            </w:r>
            <w:r w:rsidRPr="003420B5">
              <w:rPr>
                <w:sz w:val="16"/>
                <w:szCs w:val="16"/>
              </w:rPr>
              <w:t>pervision</w:t>
            </w:r>
          </w:p>
          <w:p w14:paraId="4972584D" w14:textId="77777777" w:rsidR="00782B95" w:rsidRPr="003420B5" w:rsidRDefault="00782B95" w:rsidP="009B6A87">
            <w:pPr>
              <w:tabs>
                <w:tab w:val="left" w:pos="284"/>
                <w:tab w:val="left" w:pos="426"/>
              </w:tabs>
              <w:jc w:val="both"/>
            </w:pPr>
            <w:r w:rsidRPr="003420B5">
              <w:t>P</w:t>
            </w:r>
            <w:r w:rsidRPr="003420B5">
              <w:tab/>
              <w:t xml:space="preserve">: </w:t>
            </w:r>
            <w:r w:rsidRPr="003420B5">
              <w:tab/>
            </w:r>
            <w:r w:rsidRPr="003420B5">
              <w:rPr>
                <w:b/>
                <w:bCs/>
              </w:rPr>
              <w:t>P</w:t>
            </w:r>
            <w:r w:rsidRPr="003420B5">
              <w:rPr>
                <w:sz w:val="16"/>
                <w:szCs w:val="16"/>
              </w:rPr>
              <w:t>roject administration</w:t>
            </w:r>
          </w:p>
          <w:p w14:paraId="42B25046" w14:textId="77777777" w:rsidR="00782B95" w:rsidRPr="003420B5" w:rsidRDefault="00782B95" w:rsidP="009B6A87">
            <w:pPr>
              <w:tabs>
                <w:tab w:val="left" w:pos="284"/>
                <w:tab w:val="left" w:pos="426"/>
              </w:tabs>
              <w:jc w:val="both"/>
            </w:pPr>
            <w:r w:rsidRPr="003420B5">
              <w:t>Fu</w:t>
            </w:r>
            <w:r w:rsidRPr="003420B5">
              <w:tab/>
              <w:t xml:space="preserve">: </w:t>
            </w:r>
            <w:r w:rsidRPr="003420B5">
              <w:tab/>
            </w:r>
            <w:r w:rsidRPr="003420B5">
              <w:rPr>
                <w:b/>
                <w:bCs/>
              </w:rPr>
              <w:t>Fu</w:t>
            </w:r>
            <w:r w:rsidRPr="003420B5">
              <w:rPr>
                <w:sz w:val="16"/>
                <w:szCs w:val="16"/>
              </w:rPr>
              <w:t>nding acquisition</w:t>
            </w:r>
          </w:p>
          <w:p w14:paraId="4DBE6026" w14:textId="77777777" w:rsidR="00782B95" w:rsidRPr="003420B5" w:rsidRDefault="00782B95" w:rsidP="009B6A87">
            <w:pPr>
              <w:tabs>
                <w:tab w:val="left" w:pos="284"/>
                <w:tab w:val="left" w:pos="426"/>
              </w:tabs>
              <w:jc w:val="both"/>
            </w:pPr>
          </w:p>
        </w:tc>
      </w:tr>
    </w:tbl>
    <w:p/>
    <w:p/>
    <w:p>
      <w:pPr>
        <w:keepNext/>
        <w:jc w:val="both"/>
      </w:pPr>
      <w:r>
        <w:rPr>
          <w:b/>
          <w:bCs/>
        </w:rPr>
        <w:t xml:space="preserve">CONFLICT OF INTEREST STATEMENT</w:t>
      </w:r>
    </w:p>
    <w:p>
      <w:pPr>
        <w:ind w:firstLine="720"/>
        <w:jc w:val="both"/>
      </w:pPr>
      <w:r>
        <w:t xml:space="preserve">Authors state no conflict of interest.</w:t>
      </w:r>
    </w:p>
    <w:p/>
    <w:p>
      <w:pPr>
        <w:keepNext/>
        <w:jc w:val="both"/>
      </w:pPr>
      <w:r>
        <w:rPr>
          <w:b/>
          <w:bCs/>
        </w:rPr>
        <w:t xml:space="preserve">ETHICAL APPROVAL</w:t>
      </w:r>
    </w:p>
    <w:p>
      <w:pPr>
        <w:ind w:firstLine="720"/>
        <w:jc w:val="both"/>
      </w:pPr>
      <w:r>
        <w:t xml:space="preserve">This study is a secondary analysis of de-identified data from the 2023 Indonesian Health Survey, collected by the Ministry of Health of the Republic of Indonesia under its own ethical clearance and informed-consent procedures. The research related to human use has been complied with all the relevant national regulations and institutional policies in accordance with the tenets of the Helsinki Declaration. </w:t>
      </w:r>
      <w:r>
        <w:rPr>
          <w:highlight w:val="yellow"/>
        </w:rPr>
        <w:t xml:space="preserve">[Insert data-use permission / ethical clearance number.]</w:t>
      </w:r>
    </w:p>
    <w:p/>
    <w:p>
      <w:pPr>
        <w:keepNext/>
        <w:jc w:val="both"/>
      </w:pPr>
      <w:r>
        <w:rPr>
          <w:b/>
          <w:bCs/>
        </w:rPr>
        <w:t xml:space="preserve">DATA AVAILABILITY</w:t>
      </w:r>
    </w:p>
    <w:p>
      <w:pPr>
        <w:ind w:firstLine="720"/>
        <w:jc w:val="both"/>
      </w:pPr>
      <w:r>
        <w:t xml:space="preserve">The data that support the findings of this study are available from the Health Development Policy Agency (BKPK), Ministry of Health of the Republic of Indonesia. Restrictions apply to the availability of these data, which were used under license for this study. The analysis code, feature lists, exclusion list, and result tables are available from the corresponding author, [initials: ADJ], upon reasonable request. </w:t>
      </w:r>
      <w:r>
        <w:rPr>
          <w:highlight w:val="yellow"/>
        </w:rPr>
        <w:t xml:space="preserve">[Optionally add a public code repository URL.]</w:t>
      </w:r>
    </w:p>
    <w:p/>
    <w:p>
      <w:pPr>
        <w:keepNext/>
        <w:jc w:val="both"/>
      </w:pPr>
      <w:r>
        <w:rPr>
          <w:b/>
          <w:bCs/>
        </w:rPr>
        <w:t xml:space="preserve">REFERENCES</w:t>
      </w:r>
    </w:p>
    <w:p>
      <w:pPr>
        <w:widowControl w:val="0"/>
        <w:tabs>
          <w:tab w:val="left" w:pos="426"/>
        </w:tabs>
        <w:ind w:left="426" w:hanging="426"/>
        <w:jc w:val="both"/>
      </w:pPr>
      <w:r>
        <w:rPr>
          <w:sz w:val="16"/>
          <w:szCs w:val="16"/>
        </w:rPr>
        <w:t xml:space="preserve">[1]</w:t>
      </w:r>
      <w:r>
        <w:rPr>
          <w:sz w:val="16"/>
        </w:rPr>
        <w:tab/>
      </w:r>
      <w:r>
        <w:rPr>
          <w:sz w:val="16"/>
          <w:szCs w:val="16"/>
        </w:rPr>
        <w:t xml:space="preserve">C. G. Victora, P. Christian, L. P. Vidaletti, G. Gatica-Domínguez, P. Menon, and R. E. Black, “Revisiting maternal and child undernutrition in low-income and middle-income countries: variable progress towards an unfinished agenda,” The Lancet, vol. 397, no. 10282, pp. 1388–1399, 2021, doi: 10.1016/S0140-6736(21)00394-9.</w:t>
      </w:r>
    </w:p>
    <w:p>
      <w:pPr>
        <w:widowControl w:val="0"/>
        <w:tabs>
          <w:tab w:val="left" w:pos="426"/>
        </w:tabs>
        <w:ind w:left="426" w:hanging="426"/>
        <w:jc w:val="both"/>
      </w:pPr>
      <w:r>
        <w:rPr>
          <w:sz w:val="16"/>
          <w:szCs w:val="16"/>
        </w:rPr>
        <w:t xml:space="preserve">[2]</w:t>
      </w:r>
      <w:r>
        <w:rPr>
          <w:sz w:val="16"/>
        </w:rPr>
        <w:tab/>
      </w:r>
      <w:r>
        <w:rPr>
          <w:sz w:val="16"/>
          <w:szCs w:val="16"/>
        </w:rPr>
        <w:t xml:space="preserve">T. Mulyaningsih, I. Mohanty, V. Widyaningsih, T. A. Gebremedhin, R. Miranti, and V. H. Wiyono, “Beyond personal factors: multilevel determinants of childhood stunting in Indonesia,” PLoS ONE, vol. 16, no. 11, p. e0260265, 2021, doi: 10.1371/journal.pone.0260265.</w:t>
      </w:r>
    </w:p>
    <w:p>
      <w:pPr>
        <w:widowControl w:val="0"/>
        <w:tabs>
          <w:tab w:val="left" w:pos="426"/>
        </w:tabs>
        <w:ind w:left="426" w:hanging="426"/>
        <w:jc w:val="both"/>
      </w:pPr>
      <w:r>
        <w:rPr>
          <w:sz w:val="16"/>
          <w:szCs w:val="16"/>
        </w:rPr>
        <w:t xml:space="preserve">[3]</w:t>
      </w:r>
      <w:r>
        <w:rPr>
          <w:sz w:val="16"/>
        </w:rPr>
        <w:tab/>
      </w:r>
      <w:r>
        <w:rPr>
          <w:sz w:val="16"/>
          <w:szCs w:val="16"/>
        </w:rPr>
        <w:t xml:space="preserve">S. M. J. Rahman </w:t>
      </w:r>
      <w:r>
        <w:rPr>
          <w:i/>
          <w:iCs/>
          <w:sz w:val="16"/>
          <w:szCs w:val="16"/>
        </w:rPr>
        <w:t xml:space="preserve">et al.</w:t>
      </w:r>
      <w:r>
        <w:rPr>
          <w:sz w:val="16"/>
          <w:szCs w:val="16"/>
        </w:rPr>
        <w:t xml:space="preserve">, “Investigate the risk factors of stunting, wasting, and underweight among under-five Bangladeshi children and its prediction based on machine learning approach,” PLoS ONE, vol. 16, no. 6, p. e0253172, 2021, doi: 10.1371/journal.pone.0253172.</w:t>
      </w:r>
    </w:p>
    <w:p>
      <w:pPr>
        <w:widowControl w:val="0"/>
        <w:tabs>
          <w:tab w:val="left" w:pos="426"/>
        </w:tabs>
        <w:ind w:left="426" w:hanging="426"/>
        <w:jc w:val="both"/>
      </w:pPr>
      <w:r>
        <w:rPr>
          <w:sz w:val="16"/>
          <w:szCs w:val="16"/>
        </w:rPr>
        <w:t xml:space="preserve">[4]</w:t>
      </w:r>
      <w:r>
        <w:rPr>
          <w:sz w:val="16"/>
        </w:rPr>
        <w:tab/>
      </w:r>
      <w:r>
        <w:rPr>
          <w:sz w:val="16"/>
          <w:szCs w:val="16"/>
        </w:rPr>
        <w:t xml:space="preserve">M. Mansur, A. Afiaz, and M. S. Hossain, “Sociodemographic risk factors of under-five stunting in Bangladesh: assessing the role of interactions using a machine learning method,” PLoS ONE, vol. 16, no. 8, p. e0256729, 2021, doi: 10.1371/journal.pone.0256729.</w:t>
      </w:r>
    </w:p>
    <w:p>
      <w:pPr>
        <w:widowControl w:val="0"/>
        <w:tabs>
          <w:tab w:val="left" w:pos="426"/>
        </w:tabs>
        <w:ind w:left="426" w:hanging="426"/>
        <w:jc w:val="both"/>
      </w:pPr>
      <w:r>
        <w:rPr>
          <w:sz w:val="16"/>
          <w:szCs w:val="16"/>
        </w:rPr>
        <w:t xml:space="preserve">[5]</w:t>
      </w:r>
      <w:r>
        <w:rPr>
          <w:sz w:val="16"/>
        </w:rPr>
        <w:tab/>
      </w:r>
      <w:r>
        <w:rPr>
          <w:sz w:val="16"/>
          <w:szCs w:val="16"/>
        </w:rPr>
        <w:t xml:space="preserve">F. H. Bitew, C. S. Sparks, and S. H. Nyarko, “Machine learning algorithms for predicting undernutrition among under-five children in Ethiopia,” Public Health Nutrition, vol. 25, no. 2, pp. 269–280, 2022, doi: 10.1017/S1368980021004262.</w:t>
      </w:r>
    </w:p>
    <w:p>
      <w:pPr>
        <w:widowControl w:val="0"/>
        <w:tabs>
          <w:tab w:val="left" w:pos="426"/>
        </w:tabs>
        <w:ind w:left="426" w:hanging="426"/>
        <w:jc w:val="both"/>
      </w:pPr>
      <w:r>
        <w:rPr>
          <w:sz w:val="16"/>
          <w:szCs w:val="16"/>
        </w:rPr>
        <w:t xml:space="preserve">[6]</w:t>
      </w:r>
      <w:r>
        <w:rPr>
          <w:sz w:val="16"/>
        </w:rPr>
        <w:tab/>
      </w:r>
      <w:r>
        <w:rPr>
          <w:sz w:val="16"/>
          <w:szCs w:val="16"/>
        </w:rPr>
        <w:t xml:space="preserve">H. M. Fenta, T. Zewotir, and E. K. Muluneh, “A machine learning classifier approach for identifying the determinants of under-five child undernutrition in Ethiopian administrative zones,” BMC Medical Informatics and Decision Making, vol. 21, no. 1, p. 291, 2021.</w:t>
      </w:r>
    </w:p>
    <w:p>
      <w:pPr>
        <w:widowControl w:val="0"/>
        <w:tabs>
          <w:tab w:val="left" w:pos="426"/>
        </w:tabs>
        <w:ind w:left="426" w:hanging="426"/>
        <w:jc w:val="both"/>
      </w:pPr>
      <w:r>
        <w:rPr>
          <w:sz w:val="16"/>
          <w:szCs w:val="16"/>
        </w:rPr>
        <w:t xml:space="preserve">[7]</w:t>
      </w:r>
      <w:r>
        <w:rPr>
          <w:sz w:val="16"/>
        </w:rPr>
        <w:tab/>
      </w:r>
      <w:r>
        <w:rPr>
          <w:sz w:val="16"/>
          <w:szCs w:val="16"/>
        </w:rPr>
        <w:t xml:space="preserve">O. N. Chilyabanyama </w:t>
      </w:r>
      <w:r>
        <w:rPr>
          <w:i/>
          <w:iCs/>
          <w:sz w:val="16"/>
          <w:szCs w:val="16"/>
        </w:rPr>
        <w:t xml:space="preserve">et al.</w:t>
      </w:r>
      <w:r>
        <w:rPr>
          <w:sz w:val="16"/>
          <w:szCs w:val="16"/>
        </w:rPr>
        <w:t xml:space="preserve">, “Performance of machine learning classifiers in classifying stunting among under-five children in Zambia,” Children, vol. 9, no. 7, p. 1082, 2022, doi: 10.3390/children9071082.</w:t>
      </w:r>
    </w:p>
    <w:p>
      <w:pPr>
        <w:widowControl w:val="0"/>
        <w:tabs>
          <w:tab w:val="left" w:pos="426"/>
        </w:tabs>
        <w:ind w:left="426" w:hanging="426"/>
        <w:jc w:val="both"/>
      </w:pPr>
      <w:r>
        <w:rPr>
          <w:sz w:val="16"/>
          <w:szCs w:val="16"/>
        </w:rPr>
        <w:t xml:space="preserve">[8]</w:t>
      </w:r>
      <w:r>
        <w:rPr>
          <w:sz w:val="16"/>
        </w:rPr>
        <w:tab/>
      </w:r>
      <w:r>
        <w:rPr>
          <w:sz w:val="16"/>
          <w:szCs w:val="16"/>
        </w:rPr>
        <w:t xml:space="preserve">M. Usman and K. Kopczewska, “Spatial and machine learning approach to model childhood stunting in Pakistan: role of socio-economic and environmental factors,” International Journal of Environmental Research and Public Health, vol. 19, no. 17, p. 10967, 2022, doi: 10.3390/ijerph191710967.</w:t>
      </w:r>
    </w:p>
    <w:p>
      <w:pPr>
        <w:widowControl w:val="0"/>
        <w:tabs>
          <w:tab w:val="left" w:pos="426"/>
        </w:tabs>
        <w:ind w:left="426" w:hanging="426"/>
        <w:jc w:val="both"/>
      </w:pPr>
      <w:r>
        <w:rPr>
          <w:sz w:val="16"/>
          <w:szCs w:val="16"/>
        </w:rPr>
        <w:t xml:space="preserve">[9]</w:t>
      </w:r>
      <w:r>
        <w:rPr>
          <w:sz w:val="16"/>
        </w:rPr>
        <w:tab/>
      </w:r>
      <w:r>
        <w:rPr>
          <w:sz w:val="16"/>
          <w:szCs w:val="16"/>
        </w:rPr>
        <w:t xml:space="preserve">H. Shen, H. Zhao, and Y. Jiang, “Machine learning algorithms for predicting stunting among under-five children in Papua New Guinea,” Children, vol. 10, no. 10, p. 1638, 2023, doi: 10.3390/children10101638.</w:t>
      </w:r>
    </w:p>
    <w:p>
      <w:pPr>
        <w:widowControl w:val="0"/>
        <w:tabs>
          <w:tab w:val="left" w:pos="426"/>
        </w:tabs>
        <w:ind w:left="426" w:hanging="426"/>
        <w:jc w:val="both"/>
      </w:pPr>
      <w:r>
        <w:rPr>
          <w:sz w:val="16"/>
          <w:szCs w:val="16"/>
        </w:rPr>
        <w:t xml:space="preserve">[10]</w:t>
      </w:r>
      <w:r>
        <w:rPr>
          <w:sz w:val="16"/>
        </w:rPr>
        <w:tab/>
      </w:r>
      <w:r>
        <w:rPr>
          <w:sz w:val="16"/>
          <w:szCs w:val="16"/>
        </w:rPr>
        <w:t xml:space="preserve">S. Ndagijimana, I. H. Kabano, E. Masabo, and J. M. Ntaganda, “Prediction of stunting among under-5 children in Rwanda using machine learning techniques,” Journal of Preventive Medicine and Public Health, vol. 56, no. 1, pp. 41–49, 2023, doi: 10.3961/jpmph.22.388.</w:t>
      </w:r>
    </w:p>
    <w:p>
      <w:pPr>
        <w:widowControl w:val="0"/>
        <w:tabs>
          <w:tab w:val="left" w:pos="426"/>
        </w:tabs>
        <w:ind w:left="426" w:hanging="426"/>
        <w:jc w:val="both"/>
      </w:pPr>
      <w:r>
        <w:rPr>
          <w:sz w:val="16"/>
          <w:szCs w:val="16"/>
        </w:rPr>
        <w:t xml:space="preserve">[11]</w:t>
      </w:r>
      <w:r>
        <w:rPr>
          <w:sz w:val="16"/>
        </w:rPr>
        <w:tab/>
      </w:r>
      <w:r>
        <w:rPr>
          <w:sz w:val="16"/>
          <w:szCs w:val="16"/>
        </w:rPr>
        <w:t xml:space="preserve">M. M. Islam, N. M. S. J. Kibria, S. Kumar, D. C. Roy, and M. R. Karim, “Prediction of undernutrition and identification of its influencing predictors among under-five children in Bangladesh using explainable machine learning algorithms,” PLoS ONE, vol. 19, no. 12, p. e0315393, 2024, doi: 10.1371/journal.pone.0315393.</w:t>
      </w:r>
    </w:p>
    <w:p>
      <w:pPr>
        <w:widowControl w:val="0"/>
        <w:tabs>
          <w:tab w:val="left" w:pos="426"/>
        </w:tabs>
        <w:ind w:left="426" w:hanging="426"/>
        <w:jc w:val="both"/>
      </w:pPr>
      <w:r>
        <w:rPr>
          <w:sz w:val="16"/>
          <w:szCs w:val="16"/>
        </w:rPr>
        <w:t xml:space="preserve">[12]</w:t>
      </w:r>
      <w:r>
        <w:rPr>
          <w:sz w:val="16"/>
        </w:rPr>
        <w:tab/>
      </w:r>
      <w:r>
        <w:rPr>
          <w:sz w:val="16"/>
          <w:szCs w:val="16"/>
        </w:rPr>
        <w:t xml:space="preserve">E. K. Anku and H. O. Duah, “Predicting and identifying factors associated with undernutrition among children under five years in Ghana using machine learning algorithms,” PLoS ONE, vol. 19, no. 2, p. e0296625, 2024, doi: 10.1371/journal.pone.0296625.</w:t>
      </w:r>
    </w:p>
    <w:p>
      <w:pPr>
        <w:widowControl w:val="0"/>
        <w:tabs>
          <w:tab w:val="left" w:pos="426"/>
        </w:tabs>
        <w:ind w:left="426" w:hanging="426"/>
        <w:jc w:val="both"/>
      </w:pPr>
      <w:r>
        <w:rPr>
          <w:sz w:val="16"/>
          <w:szCs w:val="16"/>
        </w:rPr>
        <w:t xml:space="preserve">[13]</w:t>
      </w:r>
      <w:r>
        <w:rPr>
          <w:sz w:val="16"/>
        </w:rPr>
        <w:tab/>
      </w:r>
      <w:r>
        <w:rPr>
          <w:sz w:val="16"/>
          <w:szCs w:val="16"/>
        </w:rPr>
        <w:t xml:space="preserve">M. K. Ayele, G. A. Baye, S. H. Yesuf, A. A. Engda, and E. T. Mitiku, “Predicting stunting status among under five children in Ethiopia using ensemble machine learning algorithms,” Scientific Reports, vol. 15, p. 27907, 2025, doi: 10.1038/s41598-025-03206-1.</w:t>
      </w:r>
    </w:p>
    <w:p>
      <w:pPr>
        <w:widowControl w:val="0"/>
        <w:tabs>
          <w:tab w:val="left" w:pos="426"/>
        </w:tabs>
        <w:ind w:left="426" w:hanging="426"/>
        <w:jc w:val="both"/>
      </w:pPr>
      <w:r>
        <w:rPr>
          <w:sz w:val="16"/>
          <w:szCs w:val="16"/>
        </w:rPr>
        <w:t xml:space="preserve">[14]</w:t>
      </w:r>
      <w:r>
        <w:rPr>
          <w:sz w:val="16"/>
        </w:rPr>
        <w:tab/>
      </w:r>
      <w:r>
        <w:rPr>
          <w:sz w:val="16"/>
          <w:szCs w:val="16"/>
        </w:rPr>
        <w:t xml:space="preserve">T. K. Wudu, A. A. Endalew, and A. A. Dires, “Explainable hybrid machine learning model for predicting stunting and identifying key risk factors among Ethiopian children under five,” Scientific Reports, vol. 16, p. 16204, 2026, doi: 10.1038/s41598-026-46417-w.</w:t>
      </w:r>
    </w:p>
    <w:p>
      <w:pPr>
        <w:widowControl w:val="0"/>
        <w:tabs>
          <w:tab w:val="left" w:pos="426"/>
        </w:tabs>
        <w:ind w:left="426" w:hanging="426"/>
        <w:jc w:val="both"/>
      </w:pPr>
      <w:r>
        <w:rPr>
          <w:sz w:val="16"/>
          <w:szCs w:val="16"/>
        </w:rPr>
        <w:t xml:space="preserve">[15]</w:t>
      </w:r>
      <w:r>
        <w:rPr>
          <w:sz w:val="16"/>
        </w:rPr>
        <w:tab/>
      </w:r>
      <w:r>
        <w:rPr>
          <w:sz w:val="16"/>
          <w:szCs w:val="16"/>
        </w:rPr>
        <w:t xml:space="preserve">A. Hendy </w:t>
      </w:r>
      <w:r>
        <w:rPr>
          <w:i/>
          <w:iCs/>
          <w:sz w:val="16"/>
          <w:szCs w:val="16"/>
        </w:rPr>
        <w:t xml:space="preserve">et al.</w:t>
      </w:r>
      <w:r>
        <w:rPr>
          <w:sz w:val="16"/>
          <w:szCs w:val="16"/>
        </w:rPr>
        <w:t xml:space="preserve">, “Supervised machine learning for classification and prediction of stunting among under-five Egyptian children,” BMC Pediatrics, vol. 25, p. 681, 2025, doi: 10.1186/s12887-025-06138-x.</w:t>
      </w:r>
    </w:p>
    <w:p>
      <w:pPr>
        <w:widowControl w:val="0"/>
        <w:tabs>
          <w:tab w:val="left" w:pos="426"/>
        </w:tabs>
        <w:ind w:left="426" w:hanging="426"/>
        <w:jc w:val="both"/>
      </w:pPr>
      <w:r>
        <w:rPr>
          <w:sz w:val="16"/>
          <w:szCs w:val="16"/>
        </w:rPr>
        <w:t xml:space="preserve">[16]</w:t>
      </w:r>
      <w:r>
        <w:rPr>
          <w:sz w:val="16"/>
        </w:rPr>
        <w:tab/>
      </w:r>
      <w:r>
        <w:rPr>
          <w:sz w:val="16"/>
          <w:szCs w:val="16"/>
        </w:rPr>
        <w:t xml:space="preserve">A. Hendy </w:t>
      </w:r>
      <w:r>
        <w:rPr>
          <w:i/>
          <w:iCs/>
          <w:sz w:val="16"/>
          <w:szCs w:val="16"/>
        </w:rPr>
        <w:t xml:space="preserve">et al.</w:t>
      </w:r>
      <w:r>
        <w:rPr>
          <w:sz w:val="16"/>
          <w:szCs w:val="16"/>
        </w:rPr>
        <w:t xml:space="preserve">, “Unlocking insights: using machine learning to identify wasting and risk factors in Egyptian children under 5,” Nutrition, vol. 131, p. 112631, 2025.</w:t>
      </w:r>
    </w:p>
    <w:p>
      <w:pPr>
        <w:widowControl w:val="0"/>
        <w:tabs>
          <w:tab w:val="left" w:pos="426"/>
        </w:tabs>
        <w:ind w:left="426" w:hanging="426"/>
        <w:jc w:val="both"/>
      </w:pPr>
      <w:r>
        <w:rPr>
          <w:sz w:val="16"/>
          <w:szCs w:val="16"/>
        </w:rPr>
        <w:t xml:space="preserve">[17]</w:t>
      </w:r>
      <w:r>
        <w:rPr>
          <w:sz w:val="16"/>
        </w:rPr>
        <w:tab/>
      </w:r>
      <w:r>
        <w:rPr>
          <w:sz w:val="16"/>
          <w:szCs w:val="16"/>
        </w:rPr>
        <w:t xml:space="preserve">L. Sasse </w:t>
      </w:r>
      <w:r>
        <w:rPr>
          <w:i/>
          <w:iCs/>
          <w:sz w:val="16"/>
          <w:szCs w:val="16"/>
        </w:rPr>
        <w:t xml:space="preserve">et al.</w:t>
      </w:r>
      <w:r>
        <w:rPr>
          <w:sz w:val="16"/>
          <w:szCs w:val="16"/>
        </w:rPr>
        <w:t xml:space="preserve">, “Overview of leakage scenarios in supervised machine learning,” Journal of Big Data, vol. 12, p. 41, 2025, doi: 10.1186/s40537-025-01193-8.</w:t>
      </w:r>
    </w:p>
    <w:p>
      <w:pPr>
        <w:widowControl w:val="0"/>
        <w:tabs>
          <w:tab w:val="left" w:pos="426"/>
        </w:tabs>
        <w:ind w:left="426" w:hanging="426"/>
        <w:jc w:val="both"/>
      </w:pPr>
      <w:r>
        <w:rPr>
          <w:sz w:val="16"/>
          <w:szCs w:val="16"/>
        </w:rPr>
        <w:t xml:space="preserve">[18]</w:t>
      </w:r>
      <w:r>
        <w:rPr>
          <w:sz w:val="16"/>
        </w:rPr>
        <w:tab/>
      </w:r>
      <w:r>
        <w:rPr>
          <w:sz w:val="16"/>
          <w:szCs w:val="16"/>
        </w:rPr>
        <w:t xml:space="preserve">J. Bernett </w:t>
      </w:r>
      <w:r>
        <w:rPr>
          <w:i/>
          <w:iCs/>
          <w:sz w:val="16"/>
          <w:szCs w:val="16"/>
        </w:rPr>
        <w:t xml:space="preserve">et al.</w:t>
      </w:r>
      <w:r>
        <w:rPr>
          <w:sz w:val="16"/>
          <w:szCs w:val="16"/>
        </w:rPr>
        <w:t xml:space="preserve">, “Guiding questions to avoid data leakage in biological machine learning applications,” Nature Methods, vol. 21, no. 8, pp. 1444–1453, 2024, doi: 10.1038/s41592-024-02362-y.</w:t>
      </w:r>
    </w:p>
    <w:p>
      <w:pPr>
        <w:widowControl w:val="0"/>
        <w:tabs>
          <w:tab w:val="left" w:pos="426"/>
        </w:tabs>
        <w:ind w:left="426" w:hanging="426"/>
        <w:jc w:val="both"/>
      </w:pPr>
      <w:r>
        <w:rPr>
          <w:sz w:val="16"/>
          <w:szCs w:val="16"/>
        </w:rPr>
        <w:t xml:space="preserve">[19]</w:t>
      </w:r>
      <w:r>
        <w:rPr>
          <w:sz w:val="16"/>
        </w:rPr>
        <w:tab/>
      </w:r>
      <w:r>
        <w:rPr>
          <w:sz w:val="16"/>
          <w:szCs w:val="16"/>
        </w:rPr>
        <w:t xml:space="preserve">S. Kapoor and A. Narayanan, “Leakage and the reproducibility crisis in machine-learning-based science,” Patterns, vol. 4, no. 9, p. 100804, 2023, doi: 10.1016/j.patter.2023.100804.</w:t>
      </w:r>
    </w:p>
    <w:p>
      <w:pPr>
        <w:widowControl w:val="0"/>
        <w:tabs>
          <w:tab w:val="left" w:pos="426"/>
        </w:tabs>
        <w:ind w:left="426" w:hanging="426"/>
        <w:jc w:val="both"/>
      </w:pPr>
      <w:r>
        <w:rPr>
          <w:sz w:val="16"/>
          <w:szCs w:val="16"/>
        </w:rPr>
        <w:t xml:space="preserve">[20]</w:t>
      </w:r>
      <w:r>
        <w:rPr>
          <w:sz w:val="16"/>
        </w:rPr>
        <w:tab/>
      </w:r>
      <w:r>
        <w:rPr>
          <w:sz w:val="16"/>
          <w:szCs w:val="16"/>
        </w:rPr>
        <w:t xml:space="preserve">L. Messeri and M. J. Crockett, “Artificial intelligence and illusions of understanding in scientific research,” Nature, vol. 627, pp. 49–58, 2024, doi: 10.1038/s41586-024-07146-0.</w:t>
      </w:r>
    </w:p>
    <w:p>
      <w:pPr>
        <w:widowControl w:val="0"/>
        <w:tabs>
          <w:tab w:val="left" w:pos="426"/>
        </w:tabs>
        <w:ind w:left="426" w:hanging="426"/>
        <w:jc w:val="both"/>
      </w:pPr>
      <w:r>
        <w:rPr>
          <w:sz w:val="16"/>
          <w:szCs w:val="16"/>
        </w:rPr>
        <w:t xml:space="preserve">[21]</w:t>
      </w:r>
      <w:r>
        <w:rPr>
          <w:sz w:val="16"/>
        </w:rPr>
        <w:tab/>
      </w:r>
      <w:r>
        <w:rPr>
          <w:sz w:val="16"/>
          <w:szCs w:val="16"/>
        </w:rPr>
        <w:t xml:space="preserve">M. Rosenblatt, L. Tejavibulya, R. Jiang, S. Noble, and D. Scheinost, “Data leakage inflates prediction performance in connectome-based machine learning models,” Nature Communications, vol. 15, p. 1829, 2024, doi: 10.1038/s41467-024-46150-w.</w:t>
      </w:r>
    </w:p>
    <w:p>
      <w:pPr>
        <w:widowControl w:val="0"/>
        <w:tabs>
          <w:tab w:val="left" w:pos="426"/>
        </w:tabs>
        <w:ind w:left="426" w:hanging="426"/>
        <w:jc w:val="both"/>
      </w:pPr>
      <w:r>
        <w:rPr>
          <w:sz w:val="16"/>
          <w:szCs w:val="16"/>
        </w:rPr>
        <w:t xml:space="preserve">[22]</w:t>
      </w:r>
      <w:r>
        <w:rPr>
          <w:sz w:val="16"/>
        </w:rPr>
        <w:tab/>
      </w:r>
      <w:r>
        <w:rPr>
          <w:sz w:val="16"/>
          <w:szCs w:val="16"/>
        </w:rPr>
        <w:t xml:space="preserve">L. A. van de Mortel and G. A. van Wingen, “Data leakage in machine learning studies creep into meta-analytic estimates of predictive performance,” Molecular Psychiatry, 2025, doi: 10.1038/s41380-025-03336-y.</w:t>
      </w:r>
    </w:p>
    <w:p>
      <w:pPr>
        <w:widowControl w:val="0"/>
        <w:tabs>
          <w:tab w:val="left" w:pos="426"/>
        </w:tabs>
        <w:ind w:left="426" w:hanging="426"/>
        <w:jc w:val="both"/>
      </w:pPr>
      <w:r>
        <w:rPr>
          <w:sz w:val="16"/>
          <w:szCs w:val="16"/>
        </w:rPr>
        <w:t xml:space="preserve">[23]</w:t>
      </w:r>
      <w:r>
        <w:rPr>
          <w:sz w:val="16"/>
        </w:rPr>
        <w:tab/>
      </w:r>
      <w:r>
        <w:rPr>
          <w:sz w:val="16"/>
          <w:szCs w:val="16"/>
        </w:rPr>
        <w:t xml:space="preserve">G. S. Collins </w:t>
      </w:r>
      <w:r>
        <w:rPr>
          <w:i/>
          <w:iCs/>
          <w:sz w:val="16"/>
          <w:szCs w:val="16"/>
        </w:rPr>
        <w:t xml:space="preserve">et al.</w:t>
      </w:r>
      <w:r>
        <w:rPr>
          <w:sz w:val="16"/>
          <w:szCs w:val="16"/>
        </w:rPr>
        <w:t xml:space="preserve">, “TRIPOD+AI statement: updated guidance for reporting clinical prediction models that use regression or machine learning methods,” BMJ, vol. 385, p. e078378, 2024, doi: 10.1136/bmj-2023-078378.</w:t>
      </w:r>
    </w:p>
    <w:p>
      <w:pPr>
        <w:widowControl w:val="0"/>
        <w:tabs>
          <w:tab w:val="left" w:pos="426"/>
        </w:tabs>
        <w:ind w:left="426" w:hanging="426"/>
        <w:jc w:val="both"/>
      </w:pPr>
      <w:r>
        <w:rPr>
          <w:sz w:val="16"/>
          <w:szCs w:val="16"/>
        </w:rPr>
        <w:t xml:space="preserve">[24]</w:t>
      </w:r>
      <w:r>
        <w:rPr>
          <w:sz w:val="16"/>
        </w:rPr>
        <w:tab/>
      </w:r>
      <w:r>
        <w:rPr>
          <w:sz w:val="16"/>
          <w:szCs w:val="16"/>
        </w:rPr>
        <w:t xml:space="preserve">S. Kapoor </w:t>
      </w:r>
      <w:r>
        <w:rPr>
          <w:i/>
          <w:iCs/>
          <w:sz w:val="16"/>
          <w:szCs w:val="16"/>
        </w:rPr>
        <w:t xml:space="preserve">et al.</w:t>
      </w:r>
      <w:r>
        <w:rPr>
          <w:sz w:val="16"/>
          <w:szCs w:val="16"/>
        </w:rPr>
        <w:t xml:space="preserve">, “REFORMS: consensus-based recommendations for machine-learning-based science,” Science Advances, vol. 10, no. 18, p. eadk3452, 2024, doi: 10.1126/sciadv.adk3452.</w:t>
      </w:r>
    </w:p>
    <w:p>
      <w:pPr>
        <w:widowControl w:val="0"/>
        <w:tabs>
          <w:tab w:val="left" w:pos="426"/>
        </w:tabs>
        <w:ind w:left="426" w:hanging="426"/>
        <w:jc w:val="both"/>
      </w:pPr>
      <w:r>
        <w:rPr>
          <w:sz w:val="16"/>
          <w:szCs w:val="16"/>
        </w:rPr>
        <w:t xml:space="preserve">[25]</w:t>
      </w:r>
      <w:r>
        <w:rPr>
          <w:sz w:val="16"/>
        </w:rPr>
        <w:tab/>
      </w:r>
      <w:r>
        <w:rPr>
          <w:sz w:val="16"/>
          <w:szCs w:val="16"/>
        </w:rPr>
        <w:t xml:space="preserve">R. Joeres, D. B. Blumenthal, and O. V. Kalinina, “Data splitting to avoid information leakage with DataSAIL,” Nature Communications, vol. 16, p. 3337, 2025, doi: 10.1038/s41467-025-58606-8.</w:t>
      </w:r>
    </w:p>
    <w:p>
      <w:pPr>
        <w:widowControl w:val="0"/>
        <w:tabs>
          <w:tab w:val="left" w:pos="426"/>
        </w:tabs>
        <w:ind w:left="426" w:hanging="426"/>
        <w:jc w:val="both"/>
      </w:pPr>
      <w:r>
        <w:rPr>
          <w:sz w:val="16"/>
          <w:szCs w:val="16"/>
        </w:rPr>
        <w:t xml:space="preserve">[26]</w:t>
      </w:r>
      <w:r>
        <w:rPr>
          <w:sz w:val="16"/>
        </w:rPr>
        <w:tab/>
      </w:r>
      <w:r>
        <w:rPr>
          <w:sz w:val="16"/>
          <w:szCs w:val="16"/>
        </w:rPr>
        <w:t xml:space="preserve">A. Apicella, F. Isgrò, and R. Prevete, “Don't push the button! Exploring data leakage risks in machine learning and transfer learning,” Artificial Intelligence Review, 2025, doi: 10.1007/s10462-025-11326-3.</w:t>
      </w:r>
    </w:p>
    <w:p>
      <w:pPr>
        <w:widowControl w:val="0"/>
        <w:tabs>
          <w:tab w:val="left" w:pos="426"/>
        </w:tabs>
        <w:ind w:left="426" w:hanging="426"/>
        <w:jc w:val="both"/>
      </w:pPr>
      <w:r>
        <w:rPr>
          <w:sz w:val="16"/>
          <w:szCs w:val="16"/>
        </w:rPr>
        <w:t xml:space="preserve">[27]</w:t>
      </w:r>
      <w:r>
        <w:rPr>
          <w:sz w:val="16"/>
        </w:rPr>
        <w:tab/>
      </w:r>
      <w:r>
        <w:rPr>
          <w:sz w:val="16"/>
          <w:szCs w:val="16"/>
        </w:rPr>
        <w:t xml:space="preserve">B. Van Calster, E. W. Steyerberg, L. Wynants, and M. van Smeden, “There is no such thing as a validated prediction model,” BMC Medicine, vol. 21, p. 70, 2023, doi: 10.1186/s12916-023-02779-w.</w:t>
      </w:r>
    </w:p>
    <w:p/>
    <w:p>
      <w:pPr>
        <w:keepNext/>
        <w:jc w:val="both"/>
      </w:pPr>
      <w:r>
        <w:rPr>
          <w:b/>
          <w:bCs/>
        </w:rPr>
        <w:t xml:space="preserve">BIOGRAPHIES OF AUTHORS</w:t>
      </w:r>
    </w:p>
    <w:tbl>
      <w:tblPr>
        <w:tblW w:w="8789" w:type="dxa"/>
        <w:jc w:val="center"/>
        <w:tblLayout w:type="fixed"/>
      </w:tblPr>
      <w:tblGrid>
        <w:gridCol w:w="1700"/>
        <w:gridCol w:w="7089"/>
      </w:tblGrid>
      <w:tr>
        <w:tc>
          <w:tcPr>
            <w:tcW w:w="1700" w:type="dxa"/>
            <w:tcBorders>
              <w:top w:val="nil"/>
              <w:left w:val="nil"/>
              <w:bottom w:val="nil"/>
              <w:right w:val="nil"/>
            </w:tcBorders>
            <w:vAlign w:val="center"/>
          </w:tcPr>
          <w:p>
            <w:pPr>
              <w:jc w:val="center"/>
            </w:pPr>
            <w:r>
              <w:rPr>
                <w:highlight w:val="yellow"/>
              </w:rPr>
              <w:t xml:space="preserve">[Photo]</w:t>
            </w:r>
          </w:p>
        </w:tc>
        <w:tc>
          <w:tcPr>
            <w:tcW w:w="7089" w:type="dxa"/>
            <w:tcBorders>
              <w:top w:val="nil"/>
              <w:left w:val="nil"/>
              <w:bottom w:val="nil"/>
              <w:right w:val="nil"/>
            </w:tcBorders>
          </w:tcPr>
          <w:p>
            <w:pPr>
              <w:jc w:val="both"/>
            </w:pPr>
            <w:r>
              <w:rPr>
                <w:b/>
                <w:bCs/>
              </w:rPr>
              <w:t xml:space="preserve">Ahmad Dedi Jubaedi</w:t>
            </w:r>
            <w:r>
              <w:t xml:space="preserve"> is with the Faculty of Computer Science, Universitas Serang Raya, Banten, Indonesia. ORCID: 0000-0002-6574-5236. </w:t>
            </w:r>
            <w:r>
              <w:rPr>
                <w:highlight w:val="yellow"/>
              </w:rPr>
              <w:t xml:space="preserve">[Add degrees, research interests, Google Scholar, Scopus ID, and WoS ResearcherID.]</w:t>
            </w:r>
            <w:r>
              <w:t xml:space="preserve"> He/she can be contacted at email: dedi@unsera.ac.id.</w:t>
            </w:r>
          </w:p>
          <w:p/>
        </w:tc>
      </w:tr>
      <w:tr>
        <w:tc>
          <w:tcPr>
            <w:tcW w:w="1700" w:type="dxa"/>
            <w:tcBorders>
              <w:top w:val="nil"/>
              <w:left w:val="nil"/>
              <w:bottom w:val="nil"/>
              <w:right w:val="nil"/>
            </w:tcBorders>
            <w:vAlign w:val="center"/>
          </w:tcPr>
          <w:p>
            <w:pPr>
              <w:jc w:val="center"/>
            </w:pPr>
            <w:r>
              <w:rPr>
                <w:highlight w:val="yellow"/>
              </w:rPr>
              <w:t xml:space="preserve">[Photo]</w:t>
            </w:r>
          </w:p>
        </w:tc>
        <w:tc>
          <w:tcPr>
            <w:tcW w:w="7089" w:type="dxa"/>
            <w:tcBorders>
              <w:top w:val="nil"/>
              <w:left w:val="nil"/>
              <w:bottom w:val="nil"/>
              <w:right w:val="nil"/>
            </w:tcBorders>
          </w:tcPr>
          <w:p>
            <w:pPr>
              <w:jc w:val="both"/>
            </w:pPr>
            <w:r>
              <w:rPr>
                <w:b/>
                <w:bCs/>
              </w:rPr>
              <w:t xml:space="preserve">Pulung Nurtantio Andono</w:t>
            </w:r>
            <w:r>
              <w:t xml:space="preserve"> is with the Faculty of Computer Science, Universitas Dian Nuswantoro, Semarang, Indonesia. ORCID: [to be added]. </w:t>
            </w:r>
            <w:r>
              <w:rPr>
                <w:highlight w:val="yellow"/>
              </w:rPr>
              <w:t xml:space="preserve">[Add degrees, research interests, Google Scholar, Scopus ID, and WoS ResearcherID.]</w:t>
            </w:r>
            <w:r>
              <w:t xml:space="preserve"> He/she can be contacted at email: pulung@dsn.dinus.ac.id.</w:t>
            </w:r>
          </w:p>
          <w:p/>
        </w:tc>
      </w:tr>
      <w:tr>
        <w:tc>
          <w:tcPr>
            <w:tcW w:w="1700" w:type="dxa"/>
            <w:tcBorders>
              <w:top w:val="nil"/>
              <w:left w:val="nil"/>
              <w:bottom w:val="nil"/>
              <w:right w:val="nil"/>
            </w:tcBorders>
            <w:vAlign w:val="center"/>
          </w:tcPr>
          <w:p>
            <w:pPr>
              <w:jc w:val="center"/>
            </w:pPr>
            <w:r>
              <w:rPr>
                <w:highlight w:val="yellow"/>
              </w:rPr>
              <w:t xml:space="preserve">[Photo]</w:t>
            </w:r>
          </w:p>
        </w:tc>
        <w:tc>
          <w:tcPr>
            <w:tcW w:w="7089" w:type="dxa"/>
            <w:tcBorders>
              <w:top w:val="nil"/>
              <w:left w:val="nil"/>
              <w:bottom w:val="nil"/>
              <w:right w:val="nil"/>
            </w:tcBorders>
          </w:tcPr>
          <w:p>
            <w:pPr>
              <w:jc w:val="both"/>
            </w:pPr>
            <w:r>
              <w:rPr>
                <w:b/>
                <w:bCs/>
              </w:rPr>
              <w:t xml:space="preserve">Nova Rijati</w:t>
            </w:r>
            <w:r>
              <w:t xml:space="preserve"> is with the Faculty of Computer Science, Universitas Dian Nuswantoro, Semarang, Indonesia. ORCID: [to be added]. </w:t>
            </w:r>
            <w:r>
              <w:rPr>
                <w:highlight w:val="yellow"/>
              </w:rPr>
              <w:t xml:space="preserve">[Add degrees, research interests, Google Scholar, Scopus ID, and WoS ResearcherID.]</w:t>
            </w:r>
            <w:r>
              <w:t xml:space="preserve"> He/she can be contacted at email: nova@dosen.dinus.ac.id.</w:t>
            </w:r>
          </w:p>
          <w:p/>
        </w:tc>
      </w:tr>
      <w:tr>
        <w:tc>
          <w:tcPr>
            <w:tcW w:w="1700" w:type="dxa"/>
            <w:tcBorders>
              <w:top w:val="nil"/>
              <w:left w:val="nil"/>
              <w:bottom w:val="nil"/>
              <w:right w:val="nil"/>
            </w:tcBorders>
            <w:vAlign w:val="center"/>
          </w:tcPr>
          <w:p>
            <w:pPr>
              <w:jc w:val="center"/>
            </w:pPr>
            <w:r>
              <w:rPr>
                <w:highlight w:val="yellow"/>
              </w:rPr>
              <w:t xml:space="preserve">[Photo]</w:t>
            </w:r>
          </w:p>
        </w:tc>
        <w:tc>
          <w:tcPr>
            <w:tcW w:w="7089" w:type="dxa"/>
            <w:tcBorders>
              <w:top w:val="nil"/>
              <w:left w:val="nil"/>
              <w:bottom w:val="nil"/>
              <w:right w:val="nil"/>
            </w:tcBorders>
          </w:tcPr>
          <w:p>
            <w:pPr>
              <w:jc w:val="both"/>
            </w:pPr>
            <w:r>
              <w:rPr>
                <w:b/>
                <w:bCs/>
              </w:rPr>
              <w:t xml:space="preserve">Ahmad Zainul Fanani</w:t>
            </w:r>
            <w:r>
              <w:t xml:space="preserve"> is with the Faculty of Computer Science, Universitas Dian Nuswantoro, Semarang, Indonesia. ORCID: [to be added]. </w:t>
            </w:r>
            <w:r>
              <w:rPr>
                <w:highlight w:val="yellow"/>
              </w:rPr>
              <w:t xml:space="preserve">[Add degrees, research interests, Google Scholar, Scopus ID, and WoS ResearcherID.]</w:t>
            </w:r>
            <w:r>
              <w:t xml:space="preserve"> He/she can be contacted at email: a.zainul.fanani@dsn.dinus.ac.id.</w:t>
            </w:r>
          </w:p>
          <w:p/>
        </w:tc>
      </w:tr>
    </w:tbl>
    <w:p/>
    <w:sectPr w:rsidR="006E58AF" w:rsidRPr="00843E6B" w:rsidSect="002A276C">
      <w:headerReference w:type="even" r:id="rId37"/>
      <w:headerReference w:type="default" r:id="rId38"/>
      <w:footerReference w:type="even" r:id="rId39"/>
      <w:footerReference w:type="default" r:id="rId40"/>
      <w:headerReference w:type="first" r:id="rId41"/>
      <w:footerReference w:type="first" r:id="rId42"/>
      <w:pgSz w:w="11907" w:h="16840" w:code="9"/>
      <w:pgMar w:top="1418" w:right="1418" w:bottom="1418" w:left="1701" w:header="1134" w:footer="113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25FD2" w14:textId="77777777" w:rsidR="00801922" w:rsidRDefault="00801922">
      <w:r>
        <w:separator/>
      </w:r>
    </w:p>
  </w:endnote>
  <w:endnote w:type="continuationSeparator" w:id="0">
    <w:p w14:paraId="5D4DD2C1" w14:textId="77777777" w:rsidR="00801922" w:rsidRDefault="008019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aditional Arabic">
    <w:charset w:val="B2"/>
    <w:family w:val="roman"/>
    <w:pitch w:val="variable"/>
    <w:sig w:usb0="00002003" w:usb1="80000000" w:usb2="00000008" w:usb3="00000000" w:csb0="00000041" w:csb1="00000000"/>
  </w:font>
  <w:font w:name="Palatino">
    <w:altName w:val="Book Antiqua"/>
    <w:panose1 w:val="00000000000000000000"/>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BatangChe">
    <w:charset w:val="81"/>
    <w:family w:val="modern"/>
    <w:pitch w:val="fixed"/>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NimbusRomNo9L-Medi">
    <w:altName w:val="Cambria"/>
    <w:panose1 w:val="00000000000000000000"/>
    <w:charset w:val="00"/>
    <w:family w:val="roman"/>
    <w:notTrueType/>
    <w:pitch w:val="default"/>
  </w:font>
  <w:font w:name="NimbusRomNo9L-Regu">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62BC2" w14:textId="014B4028" w:rsidR="00097958" w:rsidRPr="003D5B84" w:rsidRDefault="00050148" w:rsidP="00C07BEF">
    <w:pPr>
      <w:pStyle w:val="Header"/>
      <w:tabs>
        <w:tab w:val="clear" w:pos="4320"/>
        <w:tab w:val="clear" w:pos="8640"/>
        <w:tab w:val="left" w:pos="2992"/>
      </w:tabs>
      <w:spacing w:before="240"/>
    </w:pPr>
    <w:r>
      <w:rPr>
        <w:noProof/>
      </w:rPr>
      <mc:AlternateContent>
        <mc:Choice Requires="wps">
          <w:drawing>
            <wp:anchor distT="0" distB="0" distL="114300" distR="114300" simplePos="0" relativeHeight="251657216" behindDoc="0" locked="0" layoutInCell="1" allowOverlap="1" wp14:anchorId="307E942D" wp14:editId="1F7CC4B4">
              <wp:simplePos x="0" y="0"/>
              <wp:positionH relativeFrom="column">
                <wp:posOffset>-17780</wp:posOffset>
              </wp:positionH>
              <wp:positionV relativeFrom="paragraph">
                <wp:posOffset>144145</wp:posOffset>
              </wp:positionV>
              <wp:extent cx="5616000" cy="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6A795E" id="Line 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pt,11.35pt" to="440.8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"/>
          </w:pict>
        </mc:Fallback>
      </mc:AlternateContent>
    </w:r>
    <w:r w:rsidR="00784C44">
      <w:t xml:space="preserve">Int J Elec </w:t>
    </w:r>
    <w:r w:rsidR="00784C44" w:rsidRPr="00E619D6">
      <w:t xml:space="preserve">&amp; Comp Eng, </w:t>
    </w:r>
    <w:r w:rsidR="00097958" w:rsidRPr="00E619D6">
      <w:t xml:space="preserve">Vol. </w:t>
    </w:r>
    <w:r w:rsidR="00D167B5">
      <w:t>99</w:t>
    </w:r>
    <w:r w:rsidR="00097958" w:rsidRPr="00E619D6">
      <w:t xml:space="preserve">, No. </w:t>
    </w:r>
    <w:r w:rsidR="00D167B5">
      <w:t>1</w:t>
    </w:r>
    <w:r w:rsidR="0055343D" w:rsidRPr="00E619D6">
      <w:t xml:space="preserve">, </w:t>
    </w:r>
    <w:r w:rsidR="00A45398" w:rsidRPr="00735BBC">
      <w:t>Month</w:t>
    </w:r>
    <w:r w:rsidR="003A2810" w:rsidRPr="00735BBC">
      <w:t xml:space="preserve"> </w:t>
    </w:r>
    <w:r w:rsidR="003E4DD5" w:rsidRPr="00735BBC">
      <w:t>20</w:t>
    </w:r>
    <w:r w:rsidR="00D167B5">
      <w:t>99</w:t>
    </w:r>
    <w:r w:rsidR="00E305A0" w:rsidRPr="00735BBC">
      <w:t>:</w:t>
    </w:r>
    <w:r w:rsidR="00097958" w:rsidRPr="00735BBC">
      <w:t xml:space="preserve"> </w:t>
    </w:r>
    <w:r w:rsidR="00D167B5" w:rsidRPr="00D167B5">
      <w:t>1</w:t>
    </w:r>
    <w:r w:rsidR="001C26FB">
      <w:t>-</w:t>
    </w:r>
    <w:r w:rsidR="00D167B5" w:rsidRPr="00D167B5">
      <w:t>1x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B96C" w14:textId="2CA8CBE9" w:rsidR="00097958" w:rsidRPr="00C07BEF" w:rsidRDefault="00DA3BBA" w:rsidP="00DA3BBA">
    <w:pPr>
      <w:pStyle w:val="Footer"/>
      <w:jc w:val="right"/>
      <w:rPr>
        <w:i/>
      </w:rPr>
    </w:pPr>
    <w:r>
      <w:rPr>
        <w:noProof/>
      </w:rPr>
      <mc:AlternateContent>
        <mc:Choice Requires="wps">
          <w:drawing>
            <wp:anchor distT="0" distB="0" distL="114300" distR="114300" simplePos="0" relativeHeight="251658240" behindDoc="0" locked="0" layoutInCell="1" allowOverlap="1" wp14:anchorId="62A3734C" wp14:editId="1092EF7B">
              <wp:simplePos x="0" y="0"/>
              <wp:positionH relativeFrom="column">
                <wp:posOffset>-17780</wp:posOffset>
              </wp:positionH>
              <wp:positionV relativeFrom="paragraph">
                <wp:posOffset>0</wp:posOffset>
              </wp:positionV>
              <wp:extent cx="5616000" cy="0"/>
              <wp:effectExtent l="0" t="0" r="0" b="0"/>
              <wp:wrapNone/>
              <wp:docPr id="1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3EAD01" id="Line 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pt,0" to="440.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"/>
          </w:pict>
        </mc:Fallback>
      </mc:AlternateContent>
    </w:r>
    <w:r w:rsidR="00354A58" w:rsidRPr="00552051">
      <w:rPr>
        <w:i/>
        <w:iCs/>
        <w:noProof/>
      </w:rPr>
      <w:t>Anthropometric data leakage inflates machine</w:t>
    </w:r>
    <w:r w:rsidR="00354A58">
      <w:rPr>
        <w:i/>
        <w:iCs/>
        <w:noProof/>
      </w:rPr>
      <w:t xml:space="preserve"> </w:t>
    </w:r>
    <w:r w:rsidR="00354A58" w:rsidRPr="00552051">
      <w:rPr>
        <w:i/>
        <w:iCs/>
        <w:noProof/>
      </w:rPr>
      <w:t xml:space="preserve">learning performance </w:t>
    </w:r>
    <w:r w:rsidR="00354A58">
      <w:rPr>
        <w:i/>
      </w:rPr>
      <w:t>…</w:t>
    </w:r>
    <w:r w:rsidR="00354A58" w:rsidRPr="00C07BEF">
      <w:rPr>
        <w:i/>
      </w:rPr>
      <w:t xml:space="preserve"> </w:t>
    </w:r>
    <w:r w:rsidR="00EE10AE" w:rsidRPr="00C07BEF">
      <w:rPr>
        <w:i/>
      </w:rPr>
      <w:t>(Ahmad Dedi Jubaedi)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1DD03" w14:textId="47C50B12" w:rsidR="00097958" w:rsidRPr="003D5B84" w:rsidRDefault="00453F49" w:rsidP="00453F49">
    <w:pPr>
      <w:pStyle w:val="Footer"/>
      <w:spacing w:before="240"/>
      <w:rPr>
        <w:i/>
        <w:szCs w:val="18"/>
      </w:rPr>
    </w:pPr>
    <w:r>
      <w:rPr>
        <w:noProof/>
      </w:rPr>
      <mc:AlternateContent>
        <mc:Choice Requires="wps">
          <w:drawing>
            <wp:anchor distT="0" distB="0" distL="114300" distR="114300" simplePos="0" relativeHeight="251660288" behindDoc="0" locked="0" layoutInCell="1" allowOverlap="1" wp14:anchorId="066E0B6C" wp14:editId="646FA9DB">
              <wp:simplePos x="0" y="0"/>
              <wp:positionH relativeFrom="column">
                <wp:posOffset>-17780</wp:posOffset>
              </wp:positionH>
              <wp:positionV relativeFrom="paragraph">
                <wp:posOffset>144145</wp:posOffset>
              </wp:positionV>
              <wp:extent cx="5616000" cy="0"/>
              <wp:effectExtent l="0" t="0" r="0" b="0"/>
              <wp:wrapNone/>
              <wp:docPr id="8"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75B2B84" id="_x0000_t32" coordsize="21600,21600" o:spt="32" o:oned="t" path="m,l21600,21600e" filled="f">
              <v:path arrowok="t" fillok="f" o:connecttype="none"/>
              <o:lock v:ext="edit" shapetype="t"/>
            </v:shapetype>
            <v:shape id="AutoShape 6" o:spid="_x0000_s1026" type="#_x0000_t32" style="position:absolute;margin-left:-1.4pt;margin-top:11.35pt;width:442.2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"/>
          </w:pict>
        </mc:Fallback>
      </mc:AlternateContent>
    </w:r>
    <w:r w:rsidR="00C854C1" w:rsidRPr="00C854C1">
      <w:rPr>
        <w:b/>
        <w:i/>
        <w:szCs w:val="18"/>
      </w:rPr>
      <w:t>Journal homepage</w:t>
    </w:r>
    <w:r w:rsidR="00C854C1">
      <w:rPr>
        <w:i/>
        <w:szCs w:val="18"/>
      </w:rPr>
      <w:t xml:space="preserve">: </w:t>
    </w:r>
    <w:r w:rsidR="001E4341" w:rsidRPr="001E4341">
      <w:rPr>
        <w:i/>
        <w:szCs w:val="18"/>
      </w:rPr>
      <w:t>http://ijece.iaescore.com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EF93FC" w14:textId="77777777" w:rsidR="00801922" w:rsidRDefault="00801922">
      <w:r>
        <w:separator/>
      </w:r>
    </w:p>
  </w:footnote>
  <w:footnote w:type="continuationSeparator" w:id="0">
    <w:p w14:paraId="70C737A0" w14:textId="77777777" w:rsidR="00801922" w:rsidRDefault="008019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8E139" w14:textId="77777777" w:rsidR="00097958" w:rsidRPr="003D5B84" w:rsidRDefault="00C3666D" w:rsidP="00BD2B86">
    <w:pPr>
      <w:pStyle w:val="Header"/>
      <w:framePr w:wrap="around" w:vAnchor="text" w:hAnchor="page" w:x="1697" w:y="-2"/>
      <w:rPr>
        <w:rStyle w:val="PageNumber"/>
      </w:rPr>
    </w:pPr>
    <w:r w:rsidRPr="003D5B84">
      <w:rPr>
        <w:rStyle w:val="PageNumber"/>
      </w:rPr>
      <w:fldChar w:fldCharType="begin"/>
    </w:r>
    <w:r w:rsidR="00097958" w:rsidRPr="003D5B84">
      <w:rPr>
        <w:rStyle w:val="PageNumber"/>
      </w:rPr>
      <w:instrText xml:space="preserve">PAGE  </w:instrText>
    </w:r>
    <w:r w:rsidRPr="003D5B84">
      <w:rPr>
        <w:rStyle w:val="PageNumber"/>
      </w:rPr>
      <w:fldChar w:fldCharType="separate"/>
    </w:r>
    <w:r w:rsidR="00AE041B">
      <w:rPr>
        <w:rStyle w:val="PageNumber"/>
        <w:noProof/>
      </w:rPr>
      <w:t>4</w:t>
    </w:r>
    <w:r w:rsidRPr="003D5B84">
      <w:rPr>
        <w:rStyle w:val="PageNumber"/>
      </w:rPr>
      <w:fldChar w:fldCharType="end"/>
    </w:r>
  </w:p>
  <w:p w14:paraId="7F150106" w14:textId="77777777" w:rsidR="00097958" w:rsidRPr="003D5B84" w:rsidRDefault="00050148" w:rsidP="00C07BEF">
    <w:pPr>
      <w:pStyle w:val="Header"/>
      <w:tabs>
        <w:tab w:val="clear" w:pos="4320"/>
        <w:tab w:val="clear" w:pos="8640"/>
        <w:tab w:val="right" w:pos="851"/>
        <w:tab w:val="left" w:pos="3405"/>
        <w:tab w:val="right" w:pos="8789"/>
      </w:tabs>
      <w:spacing w:after="240"/>
    </w:pPr>
    <w:r>
      <w:rPr>
        <w:noProof/>
      </w:rPr>
      <mc:AlternateContent>
        <mc:Choice Requires="wps">
          <w:drawing>
            <wp:anchor distT="0" distB="0" distL="114300" distR="114300" simplePos="0" relativeHeight="251655168" behindDoc="0" locked="0" layoutInCell="1" allowOverlap="1" wp14:anchorId="36240665" wp14:editId="6C824E61">
              <wp:simplePos x="0" y="0"/>
              <wp:positionH relativeFrom="column">
                <wp:posOffset>-17780</wp:posOffset>
              </wp:positionH>
              <wp:positionV relativeFrom="paragraph">
                <wp:posOffset>180340</wp:posOffset>
              </wp:positionV>
              <wp:extent cx="5616000" cy="0"/>
              <wp:effectExtent l="0" t="0" r="0" b="0"/>
              <wp:wrapNone/>
              <wp:docPr id="3"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9C0697F" id="_x0000_t32" coordsize="21600,21600" o:spt="32" o:oned="t" path="m,l21600,21600e" filled="f">
              <v:path arrowok="t" fillok="f" o:connecttype="none"/>
              <o:lock v:ext="edit" shapetype="t"/>
            </v:shapetype>
            <v:shape id="AutoShape 7" o:spid="_x0000_s1026" type="#_x0000_t32" style="position:absolute;margin-left:-1.4pt;margin-top:14.2pt;width:442.2pt;height:0;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"/>
          </w:pict>
        </mc:Fallback>
      </mc:AlternateContent>
    </w:r>
    <w:r w:rsidR="00E5155C" w:rsidRPr="003D5B84">
      <w:t xml:space="preserve">     </w:t>
    </w:r>
    <w:r w:rsidR="00E5155C" w:rsidRPr="003D5B84">
      <w:tab/>
    </w:r>
    <w:r w:rsidR="00C854C1">
      <w:sym w:font="Wingdings" w:char="F072"/>
    </w:r>
    <w:r w:rsidR="00097958" w:rsidRPr="003D5B84">
      <w:t xml:space="preserve"> </w:t>
    </w:r>
    <w:r w:rsidR="00097958" w:rsidRPr="003D5B84">
      <w:tab/>
    </w:r>
    <w:r w:rsidR="003D5B84" w:rsidRPr="003D5B84">
      <w:tab/>
    </w:r>
    <w:r w:rsidR="00097958" w:rsidRPr="003D5B84">
      <w:t xml:space="preserve">       </w:t>
    </w:r>
    <w:r w:rsidR="00E5155C" w:rsidRPr="003D5B84">
      <w:t>ISSN</w:t>
    </w:r>
    <w:r w:rsidR="00DC341B">
      <w:t>:</w:t>
    </w:r>
    <w:r w:rsidR="00E5155C" w:rsidRPr="003D5B84">
      <w:t xml:space="preserve"> </w:t>
    </w:r>
    <w:r w:rsidR="008B060F" w:rsidRPr="003D5B84">
      <w:t>2088-8708</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4BB40" w14:textId="77777777" w:rsidR="00097958" w:rsidRPr="003D5B84" w:rsidRDefault="00C3666D" w:rsidP="00F173DD">
    <w:pPr>
      <w:pStyle w:val="Header"/>
      <w:framePr w:wrap="around" w:vAnchor="text" w:hAnchor="margin" w:xAlign="outside" w:y="1"/>
      <w:rPr>
        <w:rStyle w:val="PageNumber"/>
      </w:rPr>
    </w:pPr>
    <w:r w:rsidRPr="003D5B84">
      <w:rPr>
        <w:rStyle w:val="PageNumber"/>
      </w:rPr>
      <w:fldChar w:fldCharType="begin"/>
    </w:r>
    <w:r w:rsidR="00097958" w:rsidRPr="003D5B84">
      <w:rPr>
        <w:rStyle w:val="PageNumber"/>
      </w:rPr>
      <w:instrText xml:space="preserve">PAGE  </w:instrText>
    </w:r>
    <w:r w:rsidRPr="003D5B84">
      <w:rPr>
        <w:rStyle w:val="PageNumber"/>
      </w:rPr>
      <w:fldChar w:fldCharType="separate"/>
    </w:r>
    <w:r w:rsidR="00AE041B">
      <w:rPr>
        <w:rStyle w:val="PageNumber"/>
        <w:noProof/>
      </w:rPr>
      <w:t>3</w:t>
    </w:r>
    <w:r w:rsidRPr="003D5B84">
      <w:rPr>
        <w:rStyle w:val="PageNumber"/>
      </w:rPr>
      <w:fldChar w:fldCharType="end"/>
    </w:r>
  </w:p>
  <w:p w14:paraId="72D04B55" w14:textId="437CD960" w:rsidR="00097958" w:rsidRPr="003D5B84" w:rsidRDefault="00784C44" w:rsidP="00222701">
    <w:pPr>
      <w:pStyle w:val="Header"/>
      <w:tabs>
        <w:tab w:val="clear" w:pos="4320"/>
        <w:tab w:val="clear" w:pos="8640"/>
        <w:tab w:val="left" w:pos="0"/>
        <w:tab w:val="center" w:pos="4301"/>
        <w:tab w:val="left" w:pos="7938"/>
      </w:tabs>
    </w:pPr>
    <w:r>
      <w:t>Int J Elec &amp; Comp Eng</w:t>
    </w:r>
    <w:r w:rsidR="00097958" w:rsidRPr="003D5B84">
      <w:t xml:space="preserve"> </w:t>
    </w:r>
    <w:r w:rsidR="00097958" w:rsidRPr="003D5B84">
      <w:tab/>
      <w:t>ISSN:</w:t>
    </w:r>
    <w:r w:rsidR="004F4003">
      <w:t xml:space="preserve"> </w:t>
    </w:r>
    <w:r w:rsidR="00E5155C" w:rsidRPr="003D5B84">
      <w:t>2088-8708</w:t>
    </w:r>
    <w:r w:rsidR="00EF1185" w:rsidRPr="003D5B84">
      <w:tab/>
    </w:r>
    <w:r w:rsidR="00C854C1">
      <w:sym w:font="Wingdings" w:char="F072"/>
    </w:r>
  </w:p>
  <w:p w14:paraId="3BE6E7DA" w14:textId="7CB50A32" w:rsidR="00097958" w:rsidRPr="003D5B84" w:rsidRDefault="00222701" w:rsidP="0094367D">
    <w:pPr>
      <w:pStyle w:val="Header"/>
      <w:ind w:right="360" w:firstLine="360"/>
    </w:pPr>
    <w:r>
      <w:rPr>
        <w:noProof/>
      </w:rPr>
      <mc:AlternateContent>
        <mc:Choice Requires="wps">
          <w:drawing>
            <wp:anchor distT="0" distB="0" distL="114300" distR="114300" simplePos="0" relativeHeight="251656192" behindDoc="0" locked="0" layoutInCell="1" allowOverlap="1" wp14:anchorId="485510DB" wp14:editId="5E05CC55">
              <wp:simplePos x="0" y="0"/>
              <wp:positionH relativeFrom="column">
                <wp:posOffset>-17780</wp:posOffset>
              </wp:positionH>
              <wp:positionV relativeFrom="paragraph">
                <wp:posOffset>17780</wp:posOffset>
              </wp:positionV>
              <wp:extent cx="5616000" cy="0"/>
              <wp:effectExtent l="0" t="0" r="0" b="0"/>
              <wp:wrapNone/>
              <wp:docPr id="14"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0FDA50C" id="_x0000_t32" coordsize="21600,21600" o:spt="32" o:oned="t" path="m,l21600,21600e" filled="f">
              <v:path arrowok="t" fillok="f" o:connecttype="none"/>
              <o:lock v:ext="edit" shapetype="t"/>
            </v:shapetype>
            <v:shape id="AutoShape 7" o:spid="_x0000_s1026" type="#_x0000_t32" style="position:absolute;margin-left:-1.4pt;margin-top:1.4pt;width:442.2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&#1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F4F80" w14:textId="77777777" w:rsidR="008B060F" w:rsidRPr="003D5B84" w:rsidRDefault="008B060F" w:rsidP="008B04B3">
    <w:pPr>
      <w:pStyle w:val="Header"/>
      <w:tabs>
        <w:tab w:val="clear" w:pos="4320"/>
        <w:tab w:val="clear" w:pos="8640"/>
      </w:tabs>
      <w:ind w:right="45"/>
      <w:rPr>
        <w:b/>
      </w:rPr>
    </w:pPr>
    <w:r w:rsidRPr="003D5B84">
      <w:rPr>
        <w:b/>
      </w:rPr>
      <w:t>International Journal of Electrical and Computer Engineering (IJECE)</w:t>
    </w:r>
  </w:p>
  <w:p w14:paraId="43B9CC0C" w14:textId="4B8584C6" w:rsidR="002F6BBA" w:rsidRPr="00851B56" w:rsidRDefault="002F6BBA" w:rsidP="008B04B3">
    <w:pPr>
      <w:pStyle w:val="Header"/>
      <w:tabs>
        <w:tab w:val="clear" w:pos="4320"/>
        <w:tab w:val="clear" w:pos="8640"/>
      </w:tabs>
      <w:ind w:right="45"/>
    </w:pPr>
    <w:bookmarkStart w:id="27" w:name="_Hlk80000548"/>
    <w:r w:rsidRPr="00851B56">
      <w:t>Vol.</w:t>
    </w:r>
    <w:r w:rsidR="00E57D47" w:rsidRPr="00851B56">
      <w:t xml:space="preserve"> </w:t>
    </w:r>
    <w:r w:rsidR="006E0C37" w:rsidRPr="00851B56">
      <w:t>99</w:t>
    </w:r>
    <w:r w:rsidRPr="00851B56">
      <w:t>, No.</w:t>
    </w:r>
    <w:r w:rsidR="00E57D47" w:rsidRPr="00851B56">
      <w:t xml:space="preserve"> </w:t>
    </w:r>
    <w:r w:rsidR="006E0C37" w:rsidRPr="00851B56">
      <w:t>1</w:t>
    </w:r>
    <w:r w:rsidRPr="00851B56">
      <w:t xml:space="preserve">, </w:t>
    </w:r>
    <w:r w:rsidR="00523156" w:rsidRPr="00851B56">
      <w:t>Month</w:t>
    </w:r>
    <w:r w:rsidR="008B060F" w:rsidRPr="00851B56">
      <w:t xml:space="preserve"> </w:t>
    </w:r>
    <w:r w:rsidR="00523156" w:rsidRPr="00851B56">
      <w:t>20</w:t>
    </w:r>
    <w:r w:rsidR="006E0C37" w:rsidRPr="00851B56">
      <w:t>99</w:t>
    </w:r>
    <w:r w:rsidR="0075769A" w:rsidRPr="00851B56">
      <w:t xml:space="preserve">, pp. </w:t>
    </w:r>
    <w:r w:rsidR="006E0C37" w:rsidRPr="00851B56">
      <w:t>1</w:t>
    </w:r>
    <w:r w:rsidR="008B060F" w:rsidRPr="00851B56">
      <w:t>~</w:t>
    </w:r>
    <w:r w:rsidR="006E0C37" w:rsidRPr="00851B56">
      <w:t>1x</w:t>
    </w:r>
  </w:p>
  <w:bookmarkEnd w:id="27"/>
  <w:p w14:paraId="2A371CCD" w14:textId="2BD2F414" w:rsidR="00097958" w:rsidRDefault="002F6BBA" w:rsidP="00E77E1F">
    <w:pPr>
      <w:pStyle w:val="Header"/>
      <w:tabs>
        <w:tab w:val="clear" w:pos="4320"/>
        <w:tab w:val="clear" w:pos="8640"/>
        <w:tab w:val="left" w:pos="7938"/>
        <w:tab w:val="right" w:pos="8789"/>
      </w:tabs>
      <w:rPr>
        <w:rStyle w:val="PageNumber"/>
      </w:rPr>
    </w:pPr>
    <w:r w:rsidRPr="00851B56">
      <w:t xml:space="preserve">ISSN: </w:t>
    </w:r>
    <w:r w:rsidR="008B060F" w:rsidRPr="00851B56">
      <w:t>2088-8708</w:t>
    </w:r>
    <w:r w:rsidR="00847569" w:rsidRPr="00851B56">
      <w:t>, DOI: 10.11591/ijece.v</w:t>
    </w:r>
    <w:r w:rsidR="006E0C37" w:rsidRPr="00851B56">
      <w:t>99</w:t>
    </w:r>
    <w:r w:rsidR="00847569" w:rsidRPr="00851B56">
      <w:t>i</w:t>
    </w:r>
    <w:r w:rsidR="006E0C37" w:rsidRPr="00851B56">
      <w:t>1</w:t>
    </w:r>
    <w:r w:rsidR="00847569" w:rsidRPr="00851B56">
      <w:t>.</w:t>
    </w:r>
    <w:r w:rsidR="00050148" w:rsidRPr="00851B56">
      <w:t>pp</w:t>
    </w:r>
    <w:r w:rsidR="006E0C37" w:rsidRPr="00851B56">
      <w:t>1</w:t>
    </w:r>
    <w:r w:rsidR="00AD5DF4" w:rsidRPr="00851B56">
      <w:t>-</w:t>
    </w:r>
    <w:r w:rsidR="006E0C37" w:rsidRPr="00851B56">
      <w:t>1x</w:t>
    </w:r>
    <w:r w:rsidR="008B060F" w:rsidRPr="003D5B84">
      <w:tab/>
    </w:r>
    <w:r w:rsidR="00C854C1">
      <w:sym w:font="Wingdings" w:char="F072"/>
    </w:r>
    <w:r w:rsidR="00097958" w:rsidRPr="003D5B84">
      <w:t xml:space="preserve">   </w:t>
    </w:r>
    <w:r w:rsidR="00855965" w:rsidRPr="003D5B84">
      <w:t xml:space="preserve"> </w:t>
    </w:r>
    <w:r w:rsidR="00E5155C" w:rsidRPr="003D5B84">
      <w:tab/>
    </w:r>
    <w:r w:rsidR="00C3666D" w:rsidRPr="003D5B84">
      <w:rPr>
        <w:rStyle w:val="PageNumber"/>
      </w:rPr>
      <w:fldChar w:fldCharType="begin"/>
    </w:r>
    <w:r w:rsidR="00097958" w:rsidRPr="003D5B84">
      <w:rPr>
        <w:rStyle w:val="PageNumber"/>
      </w:rPr>
      <w:instrText xml:space="preserve"> PAGE </w:instrText>
    </w:r>
    <w:r w:rsidR="00C3666D" w:rsidRPr="003D5B84">
      <w:rPr>
        <w:rStyle w:val="PageNumber"/>
      </w:rPr>
      <w:fldChar w:fldCharType="separate"/>
    </w:r>
    <w:r w:rsidR="00AE041B">
      <w:rPr>
        <w:rStyle w:val="PageNumber"/>
        <w:noProof/>
      </w:rPr>
      <w:t>1</w:t>
    </w:r>
    <w:r w:rsidR="00C3666D" w:rsidRPr="003D5B84">
      <w:rPr>
        <w:rStyle w:val="PageNumber"/>
      </w:rPr>
      <w:fldChar w:fldCharType="end"/>
    </w:r>
    <w:r w:rsidR="00050148">
      <w:rPr>
        <w:noProof/>
      </w:rPr>
      <mc:AlternateContent>
        <mc:Choice Requires="wps">
          <w:drawing>
            <wp:anchor distT="0" distB="0" distL="114300" distR="114300" simplePos="0" relativeHeight="251659264" behindDoc="0" locked="0" layoutInCell="1" allowOverlap="1" wp14:anchorId="480481AD" wp14:editId="6FF9FD19">
              <wp:simplePos x="0" y="0"/>
              <wp:positionH relativeFrom="column">
                <wp:posOffset>-19050</wp:posOffset>
              </wp:positionH>
              <wp:positionV relativeFrom="paragraph">
                <wp:posOffset>180975</wp:posOffset>
              </wp:positionV>
              <wp:extent cx="5616000" cy="0"/>
              <wp:effectExtent l="0" t="0" r="0" b="0"/>
              <wp:wrapNone/>
              <wp:docPr id="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D57D3C7" id="_x0000_t32" coordsize="21600,21600" o:spt="32" o:oned="t" path="m,l21600,21600e" filled="f">
              <v:path arrowok="t" fillok="f" o:connecttype="none"/>
              <o:lock v:ext="edit" shapetype="t"/>
            </v:shapetype>
            <v:shape id="AutoShape 6" o:spid="_x0000_s1026" type="#_x0000_t32" style="position:absolute;margin-left:-1.5pt;margin-top:14.25pt;width:442.2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"/>
          </w:pict>
        </mc:Fallback>
      </mc:AlternateContent>
    </w:r>
    <w:r w:rsidR="00097958" w:rsidRPr="003D5B84">
      <w:rPr>
        <w:rStyle w:val="PageNumber"/>
      </w:rPr>
      <w:tab/>
    </w:r>
  </w:p>
  <w:p w14:paraId="0F8E6846" w14:textId="77777777" w:rsidR="00E77E1F" w:rsidRPr="003D5B84" w:rsidRDefault="00E77E1F" w:rsidP="00E77E1F">
    <w:pPr>
      <w:pStyle w:val="Header"/>
      <w:tabs>
        <w:tab w:val="clear" w:pos="4320"/>
        <w:tab w:val="clear" w:pos="8640"/>
        <w:tab w:val="left" w:pos="7938"/>
        <w:tab w:val="right" w:pos="8789"/>
      </w:tabs>
      <w:rPr>
        <w:rStyle w:val="PageNumbe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5206B"/>
    <w:multiLevelType w:val="hybridMultilevel"/>
    <w:tmpl w:val="2C88AC22"/>
    <w:lvl w:ilvl="0" w:tplc="D074B24A">
      <w:start w:val="1"/>
      <w:numFmt w:val="decimal"/>
      <w:lvlText w:val="[%1]"/>
      <w:lvlJc w:val="left"/>
      <w:pPr>
        <w:tabs>
          <w:tab w:val="num" w:pos="360"/>
        </w:tabs>
        <w:ind w:left="360" w:hanging="360"/>
      </w:pPr>
      <w:rPr>
        <w:rFonts w:hint="default"/>
      </w:rPr>
    </w:lvl>
    <w:lvl w:ilvl="1" w:tplc="0409000F">
      <w:start w:val="1"/>
      <w:numFmt w:val="decimal"/>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1E9D2911"/>
    <w:multiLevelType w:val="hybridMultilevel"/>
    <w:tmpl w:val="F456218E"/>
    <w:lvl w:ilvl="0" w:tplc="EBEC687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03B36FE"/>
    <w:multiLevelType w:val="hybridMultilevel"/>
    <w:tmpl w:val="56D6DE56"/>
    <w:lvl w:ilvl="0" w:tplc="28E0798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C65574"/>
    <w:multiLevelType w:val="multilevel"/>
    <w:tmpl w:val="FFFFFFFF"/>
    <w:lvl w:ilvl="0">
      <w:start w:val="1"/>
      <w:numFmt w:val="bullet"/>
      <w:lvlText w:val="-"/>
      <w:lvlJc w:val="left"/>
      <w:pPr>
        <w:tabs>
          <w:tab w:val="num" w:pos="720"/>
        </w:tabs>
        <w:ind w:left="720" w:hanging="360"/>
      </w:pPr>
      <w:rPr>
        <w:rFonts w:ascii="Calibri" w:hAnsi="Calibri" w:hint="default"/>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4" w15:restartNumberingAfterBreak="0">
    <w:nsid w:val="2FB730A1"/>
    <w:multiLevelType w:val="hybridMultilevel"/>
    <w:tmpl w:val="FFFFFFFF"/>
    <w:lvl w:ilvl="0" w:tplc="04090005">
      <w:start w:val="1"/>
      <w:numFmt w:val="bullet"/>
      <w:lvlText w:val=""/>
      <w:lvlJc w:val="left"/>
      <w:pPr>
        <w:ind w:left="1146" w:hanging="360"/>
      </w:pPr>
      <w:rPr>
        <w:rFonts w:ascii="Wingdings" w:hAnsi="Wingdings" w:hint="default"/>
      </w:rPr>
    </w:lvl>
    <w:lvl w:ilvl="1" w:tplc="04090003" w:tentative="1">
      <w:start w:val="1"/>
      <w:numFmt w:val="bullet"/>
      <w:lvlText w:val="o"/>
      <w:lvlJc w:val="left"/>
      <w:pPr>
        <w:ind w:left="1866" w:hanging="360"/>
      </w:pPr>
      <w:rPr>
        <w:rFonts w:ascii="Courier New" w:hAnsi="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5" w15:restartNumberingAfterBreak="0">
    <w:nsid w:val="37991C5D"/>
    <w:multiLevelType w:val="hybridMultilevel"/>
    <w:tmpl w:val="DAAA6750"/>
    <w:lvl w:ilvl="0" w:tplc="8C0877A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A796E7E"/>
    <w:multiLevelType w:val="hybridMultilevel"/>
    <w:tmpl w:val="F0523430"/>
    <w:lvl w:ilvl="0" w:tplc="F30472E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E670CC"/>
    <w:multiLevelType w:val="hybridMultilevel"/>
    <w:tmpl w:val="9F306BE0"/>
    <w:lvl w:ilvl="0" w:tplc="D96EDC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F782411"/>
    <w:multiLevelType w:val="hybridMultilevel"/>
    <w:tmpl w:val="FA8C5D3A"/>
    <w:lvl w:ilvl="0" w:tplc="2F08CB6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4044396E"/>
    <w:multiLevelType w:val="hybridMultilevel"/>
    <w:tmpl w:val="D4988C54"/>
    <w:lvl w:ilvl="0" w:tplc="C78A85B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AD032B"/>
    <w:multiLevelType w:val="hybridMultilevel"/>
    <w:tmpl w:val="F6E8D5D8"/>
    <w:lvl w:ilvl="0" w:tplc="85D818A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52CA544A"/>
    <w:multiLevelType w:val="singleLevel"/>
    <w:tmpl w:val="0F4C1592"/>
    <w:lvl w:ilvl="0">
      <w:start w:val="1"/>
      <w:numFmt w:val="decimal"/>
      <w:pStyle w:val="references"/>
      <w:lvlText w:val="[%1]"/>
      <w:lvlJc w:val="left"/>
      <w:pPr>
        <w:tabs>
          <w:tab w:val="num" w:pos="360"/>
        </w:tabs>
        <w:ind w:left="360" w:hanging="360"/>
      </w:pPr>
      <w:rPr>
        <w:rFonts w:ascii="Times New Roman" w:hAnsi="Times New Roman" w:hint="default"/>
        <w:b w:val="0"/>
        <w:i w:val="0"/>
        <w:sz w:val="16"/>
      </w:rPr>
    </w:lvl>
  </w:abstractNum>
  <w:abstractNum w:abstractNumId="12" w15:restartNumberingAfterBreak="0">
    <w:nsid w:val="52EA1912"/>
    <w:multiLevelType w:val="hybridMultilevel"/>
    <w:tmpl w:val="0230412C"/>
    <w:lvl w:ilvl="0" w:tplc="15DA9126">
      <w:start w:val="1"/>
      <w:numFmt w:val="decimal"/>
      <w:lvlText w:val="[%1]"/>
      <w:lvlJc w:val="left"/>
      <w:pPr>
        <w:tabs>
          <w:tab w:val="num" w:pos="360"/>
        </w:tabs>
        <w:ind w:left="360" w:hanging="360"/>
      </w:pPr>
      <w:rPr>
        <w:rFonts w:hint="default"/>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5CED335E"/>
    <w:multiLevelType w:val="hybridMultilevel"/>
    <w:tmpl w:val="B8C878CC"/>
    <w:lvl w:ilvl="0" w:tplc="963295E4">
      <w:start w:val="1"/>
      <w:numFmt w:val="decimal"/>
      <w:lvlText w:val="[%1] "/>
      <w:lvlJc w:val="left"/>
      <w:pPr>
        <w:tabs>
          <w:tab w:val="num" w:pos="360"/>
        </w:tabs>
        <w:ind w:left="360" w:hanging="360"/>
      </w:pPr>
      <w:rPr>
        <w:rFonts w:ascii="Arial" w:hAnsi="Arial" w:hint="default"/>
        <w:b w:val="0"/>
        <w:i w:val="0"/>
        <w:sz w:val="20"/>
        <w:szCs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15:restartNumberingAfterBreak="0">
    <w:nsid w:val="5D2B1111"/>
    <w:multiLevelType w:val="hybridMultilevel"/>
    <w:tmpl w:val="7AA4584E"/>
    <w:lvl w:ilvl="0" w:tplc="6F5E08A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1984878"/>
    <w:multiLevelType w:val="hybridMultilevel"/>
    <w:tmpl w:val="C912726A"/>
    <w:lvl w:ilvl="0" w:tplc="38D49E24">
      <w:start w:val="1"/>
      <w:numFmt w:val="decimal"/>
      <w:lvlText w:val="[%1]"/>
      <w:lvlJc w:val="left"/>
      <w:pPr>
        <w:ind w:left="360" w:hanging="360"/>
      </w:pPr>
      <w:rPr>
        <w:rFonts w:ascii="Times New Roman" w:hAnsi="Times New Roman" w:cs="Times New Roman" w:hint="default"/>
        <w:b/>
        <w:bCs/>
        <w:sz w:val="18"/>
        <w:szCs w:val="18"/>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62F80515"/>
    <w:multiLevelType w:val="singleLevel"/>
    <w:tmpl w:val="F6C8F98A"/>
    <w:lvl w:ilvl="0">
      <w:start w:val="1"/>
      <w:numFmt w:val="decimal"/>
      <w:pStyle w:val="yange2"/>
      <w:lvlText w:val="%1."/>
      <w:lvlJc w:val="left"/>
      <w:pPr>
        <w:tabs>
          <w:tab w:val="num" w:pos="360"/>
        </w:tabs>
        <w:ind w:left="360" w:hanging="360"/>
      </w:pPr>
    </w:lvl>
  </w:abstractNum>
  <w:abstractNum w:abstractNumId="17" w15:restartNumberingAfterBreak="0">
    <w:nsid w:val="65A23480"/>
    <w:multiLevelType w:val="hybridMultilevel"/>
    <w:tmpl w:val="E53CC32E"/>
    <w:lvl w:ilvl="0" w:tplc="9264B2C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458"/>
        </w:tabs>
        <w:ind w:left="-458" w:hanging="360"/>
      </w:pPr>
    </w:lvl>
    <w:lvl w:ilvl="2" w:tplc="0409001B" w:tentative="1">
      <w:start w:val="1"/>
      <w:numFmt w:val="lowerRoman"/>
      <w:lvlText w:val="%3."/>
      <w:lvlJc w:val="right"/>
      <w:pPr>
        <w:tabs>
          <w:tab w:val="num" w:pos="262"/>
        </w:tabs>
        <w:ind w:left="262" w:hanging="180"/>
      </w:pPr>
    </w:lvl>
    <w:lvl w:ilvl="3" w:tplc="0409000F" w:tentative="1">
      <w:start w:val="1"/>
      <w:numFmt w:val="decimal"/>
      <w:lvlText w:val="%4."/>
      <w:lvlJc w:val="left"/>
      <w:pPr>
        <w:tabs>
          <w:tab w:val="num" w:pos="982"/>
        </w:tabs>
        <w:ind w:left="982" w:hanging="360"/>
      </w:pPr>
    </w:lvl>
    <w:lvl w:ilvl="4" w:tplc="04090019" w:tentative="1">
      <w:start w:val="1"/>
      <w:numFmt w:val="lowerLetter"/>
      <w:lvlText w:val="%5."/>
      <w:lvlJc w:val="left"/>
      <w:pPr>
        <w:tabs>
          <w:tab w:val="num" w:pos="1702"/>
        </w:tabs>
        <w:ind w:left="1702" w:hanging="360"/>
      </w:pPr>
    </w:lvl>
    <w:lvl w:ilvl="5" w:tplc="0409001B" w:tentative="1">
      <w:start w:val="1"/>
      <w:numFmt w:val="lowerRoman"/>
      <w:lvlText w:val="%6."/>
      <w:lvlJc w:val="right"/>
      <w:pPr>
        <w:tabs>
          <w:tab w:val="num" w:pos="2422"/>
        </w:tabs>
        <w:ind w:left="2422" w:hanging="180"/>
      </w:pPr>
    </w:lvl>
    <w:lvl w:ilvl="6" w:tplc="0409000F" w:tentative="1">
      <w:start w:val="1"/>
      <w:numFmt w:val="decimal"/>
      <w:lvlText w:val="%7."/>
      <w:lvlJc w:val="left"/>
      <w:pPr>
        <w:tabs>
          <w:tab w:val="num" w:pos="3142"/>
        </w:tabs>
        <w:ind w:left="3142" w:hanging="360"/>
      </w:pPr>
    </w:lvl>
    <w:lvl w:ilvl="7" w:tplc="04090019" w:tentative="1">
      <w:start w:val="1"/>
      <w:numFmt w:val="lowerLetter"/>
      <w:lvlText w:val="%8."/>
      <w:lvlJc w:val="left"/>
      <w:pPr>
        <w:tabs>
          <w:tab w:val="num" w:pos="3862"/>
        </w:tabs>
        <w:ind w:left="3862" w:hanging="360"/>
      </w:pPr>
    </w:lvl>
    <w:lvl w:ilvl="8" w:tplc="0409001B" w:tentative="1">
      <w:start w:val="1"/>
      <w:numFmt w:val="lowerRoman"/>
      <w:lvlText w:val="%9."/>
      <w:lvlJc w:val="right"/>
      <w:pPr>
        <w:tabs>
          <w:tab w:val="num" w:pos="4582"/>
        </w:tabs>
        <w:ind w:left="4582" w:hanging="180"/>
      </w:pPr>
    </w:lvl>
  </w:abstractNum>
  <w:abstractNum w:abstractNumId="18" w15:restartNumberingAfterBreak="0">
    <w:nsid w:val="6AE51428"/>
    <w:multiLevelType w:val="hybridMultilevel"/>
    <w:tmpl w:val="82A45B52"/>
    <w:lvl w:ilvl="0" w:tplc="A1C8FD50">
      <w:start w:val="1"/>
      <w:numFmt w:val="decimal"/>
      <w:lvlText w:val="[%1]"/>
      <w:lvlJc w:val="left"/>
      <w:pPr>
        <w:ind w:left="720" w:hanging="360"/>
      </w:pPr>
      <w:rPr>
        <w:rFonts w:ascii="Times New Roman" w:hAnsi="Times New Roman" w:hint="default"/>
        <w:b w:val="0"/>
        <w:i w:val="0"/>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B0A3B17"/>
    <w:multiLevelType w:val="hybridMultilevel"/>
    <w:tmpl w:val="81B8EEB4"/>
    <w:lvl w:ilvl="0" w:tplc="DE86784C">
      <w:start w:val="1"/>
      <w:numFmt w:val="decimal"/>
      <w:lvlText w:val="%1."/>
      <w:lvlJc w:val="left"/>
      <w:pPr>
        <w:ind w:left="720" w:hanging="360"/>
      </w:pPr>
      <w:rPr>
        <w:rFonts w:ascii="Times New Roman" w:hAnsi="Times New Roman" w:hint="default"/>
        <w:b/>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hint="default"/>
        <w:b w:val="0"/>
        <w:i w:val="0"/>
        <w:sz w:val="16"/>
      </w:rPr>
    </w:lvl>
  </w:abstractNum>
  <w:abstractNum w:abstractNumId="21" w15:restartNumberingAfterBreak="0">
    <w:nsid w:val="7F6C2EBC"/>
    <w:multiLevelType w:val="hybridMultilevel"/>
    <w:tmpl w:val="52C8553A"/>
    <w:lvl w:ilvl="0" w:tplc="426A38D2">
      <w:start w:val="1"/>
      <w:numFmt w:val="bullet"/>
      <w:lvlText w:val="-"/>
      <w:lvlJc w:val="left"/>
      <w:pPr>
        <w:ind w:left="1429" w:hanging="360"/>
      </w:pPr>
      <w:rPr>
        <w:rFonts w:ascii="Calibri" w:hAnsi="Calibri"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16cid:durableId="1844512767">
    <w:abstractNumId w:val="16"/>
  </w:num>
  <w:num w:numId="2" w16cid:durableId="1909800933">
    <w:abstractNumId w:val="11"/>
  </w:num>
  <w:num w:numId="3" w16cid:durableId="146360275">
    <w:abstractNumId w:val="20"/>
  </w:num>
  <w:num w:numId="4" w16cid:durableId="178205149">
    <w:abstractNumId w:val="10"/>
  </w:num>
  <w:num w:numId="5" w16cid:durableId="778529401">
    <w:abstractNumId w:val="13"/>
  </w:num>
  <w:num w:numId="6" w16cid:durableId="136147058">
    <w:abstractNumId w:val="17"/>
  </w:num>
  <w:num w:numId="7" w16cid:durableId="985861844">
    <w:abstractNumId w:val="14"/>
  </w:num>
  <w:num w:numId="8" w16cid:durableId="1324553740">
    <w:abstractNumId w:val="12"/>
  </w:num>
  <w:num w:numId="9" w16cid:durableId="1117674634">
    <w:abstractNumId w:val="8"/>
  </w:num>
  <w:num w:numId="10" w16cid:durableId="522986684">
    <w:abstractNumId w:val="1"/>
  </w:num>
  <w:num w:numId="11" w16cid:durableId="2017606768">
    <w:abstractNumId w:val="0"/>
  </w:num>
  <w:num w:numId="12" w16cid:durableId="216823973">
    <w:abstractNumId w:val="5"/>
  </w:num>
  <w:num w:numId="13" w16cid:durableId="899054659">
    <w:abstractNumId w:val="2"/>
  </w:num>
  <w:num w:numId="14" w16cid:durableId="1926380941">
    <w:abstractNumId w:val="6"/>
  </w:num>
  <w:num w:numId="15" w16cid:durableId="2068676174">
    <w:abstractNumId w:val="19"/>
  </w:num>
  <w:num w:numId="16" w16cid:durableId="163252270">
    <w:abstractNumId w:val="7"/>
  </w:num>
  <w:num w:numId="17" w16cid:durableId="1858808941">
    <w:abstractNumId w:val="18"/>
  </w:num>
  <w:num w:numId="18" w16cid:durableId="69110758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2114478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637420802">
    <w:abstractNumId w:val="15"/>
  </w:num>
  <w:num w:numId="21" w16cid:durableId="1320501419">
    <w:abstractNumId w:val="9"/>
  </w:num>
  <w:num w:numId="22" w16cid:durableId="1111123382">
    <w:abstractNumId w:val="21"/>
  </w:num>
  <w:num w:numId="23" w16cid:durableId="831139975">
    <w:abstractNumId w:val="3"/>
  </w:num>
  <w:num w:numId="24" w16cid:durableId="1861043856">
    <w:abstractNumId w:val="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formatting="1" w:enforcement="0"/>
  <w:defaultTabStop w:val="720"/>
  <w:hyphenationZone w:val="425"/>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D0AC6"/>
    <w:rsid w:val="000013CF"/>
    <w:rsid w:val="00002882"/>
    <w:rsid w:val="0000385F"/>
    <w:rsid w:val="00005EFC"/>
    <w:rsid w:val="00007744"/>
    <w:rsid w:val="000106D0"/>
    <w:rsid w:val="00012CEF"/>
    <w:rsid w:val="00014633"/>
    <w:rsid w:val="000157FD"/>
    <w:rsid w:val="000158D0"/>
    <w:rsid w:val="00015F2A"/>
    <w:rsid w:val="00017858"/>
    <w:rsid w:val="00022D47"/>
    <w:rsid w:val="00027142"/>
    <w:rsid w:val="000279BE"/>
    <w:rsid w:val="00034C84"/>
    <w:rsid w:val="00035A32"/>
    <w:rsid w:val="000416A3"/>
    <w:rsid w:val="000437AE"/>
    <w:rsid w:val="000442C6"/>
    <w:rsid w:val="000474E3"/>
    <w:rsid w:val="00047710"/>
    <w:rsid w:val="00050148"/>
    <w:rsid w:val="000523C5"/>
    <w:rsid w:val="00053FB7"/>
    <w:rsid w:val="00055411"/>
    <w:rsid w:val="0006020A"/>
    <w:rsid w:val="00060330"/>
    <w:rsid w:val="00060F5C"/>
    <w:rsid w:val="00061D77"/>
    <w:rsid w:val="00062720"/>
    <w:rsid w:val="00062EE6"/>
    <w:rsid w:val="00064AB2"/>
    <w:rsid w:val="00065191"/>
    <w:rsid w:val="00066063"/>
    <w:rsid w:val="000663E1"/>
    <w:rsid w:val="0007067D"/>
    <w:rsid w:val="0007154C"/>
    <w:rsid w:val="0007236F"/>
    <w:rsid w:val="00073422"/>
    <w:rsid w:val="00073635"/>
    <w:rsid w:val="00076C16"/>
    <w:rsid w:val="0007731B"/>
    <w:rsid w:val="000776D4"/>
    <w:rsid w:val="00080CCD"/>
    <w:rsid w:val="000830A2"/>
    <w:rsid w:val="00083B9D"/>
    <w:rsid w:val="00083DD6"/>
    <w:rsid w:val="00085121"/>
    <w:rsid w:val="00086551"/>
    <w:rsid w:val="000877AC"/>
    <w:rsid w:val="00087876"/>
    <w:rsid w:val="00087AF7"/>
    <w:rsid w:val="00090546"/>
    <w:rsid w:val="00090B78"/>
    <w:rsid w:val="00091730"/>
    <w:rsid w:val="00093380"/>
    <w:rsid w:val="00094EB8"/>
    <w:rsid w:val="00095C3E"/>
    <w:rsid w:val="00096883"/>
    <w:rsid w:val="000973CC"/>
    <w:rsid w:val="00097958"/>
    <w:rsid w:val="00097E2D"/>
    <w:rsid w:val="000A15DA"/>
    <w:rsid w:val="000A1A82"/>
    <w:rsid w:val="000A592D"/>
    <w:rsid w:val="000A643C"/>
    <w:rsid w:val="000A7ACA"/>
    <w:rsid w:val="000B0641"/>
    <w:rsid w:val="000B1AEE"/>
    <w:rsid w:val="000B5480"/>
    <w:rsid w:val="000B682B"/>
    <w:rsid w:val="000C03DA"/>
    <w:rsid w:val="000C30AE"/>
    <w:rsid w:val="000C4B17"/>
    <w:rsid w:val="000C730A"/>
    <w:rsid w:val="000D099B"/>
    <w:rsid w:val="000D3712"/>
    <w:rsid w:val="000D50C8"/>
    <w:rsid w:val="000D6591"/>
    <w:rsid w:val="000D67F7"/>
    <w:rsid w:val="000D6BC3"/>
    <w:rsid w:val="000D7AC9"/>
    <w:rsid w:val="000E0AE1"/>
    <w:rsid w:val="000E0C84"/>
    <w:rsid w:val="000E0CE9"/>
    <w:rsid w:val="000E0E3C"/>
    <w:rsid w:val="000E1C9D"/>
    <w:rsid w:val="000E2025"/>
    <w:rsid w:val="000E28E0"/>
    <w:rsid w:val="000E46C5"/>
    <w:rsid w:val="000E46CF"/>
    <w:rsid w:val="000E4FD6"/>
    <w:rsid w:val="000E708C"/>
    <w:rsid w:val="000F127D"/>
    <w:rsid w:val="000F279B"/>
    <w:rsid w:val="000F29E1"/>
    <w:rsid w:val="000F61E2"/>
    <w:rsid w:val="000F703D"/>
    <w:rsid w:val="000F7ED5"/>
    <w:rsid w:val="0010046E"/>
    <w:rsid w:val="00102A61"/>
    <w:rsid w:val="001041EB"/>
    <w:rsid w:val="001045B1"/>
    <w:rsid w:val="00104BF1"/>
    <w:rsid w:val="00106F02"/>
    <w:rsid w:val="001078A8"/>
    <w:rsid w:val="00107904"/>
    <w:rsid w:val="00111779"/>
    <w:rsid w:val="001129DE"/>
    <w:rsid w:val="0011369D"/>
    <w:rsid w:val="00113F18"/>
    <w:rsid w:val="00114470"/>
    <w:rsid w:val="00117326"/>
    <w:rsid w:val="00117C85"/>
    <w:rsid w:val="001214E0"/>
    <w:rsid w:val="00121C37"/>
    <w:rsid w:val="00122833"/>
    <w:rsid w:val="0012288F"/>
    <w:rsid w:val="00122C6F"/>
    <w:rsid w:val="0012593C"/>
    <w:rsid w:val="00125C41"/>
    <w:rsid w:val="00126B1A"/>
    <w:rsid w:val="0013179E"/>
    <w:rsid w:val="00131A6C"/>
    <w:rsid w:val="00131E4C"/>
    <w:rsid w:val="00133B59"/>
    <w:rsid w:val="001363DF"/>
    <w:rsid w:val="00136716"/>
    <w:rsid w:val="00137465"/>
    <w:rsid w:val="00137E25"/>
    <w:rsid w:val="00137F36"/>
    <w:rsid w:val="001414E2"/>
    <w:rsid w:val="001434C3"/>
    <w:rsid w:val="001441CB"/>
    <w:rsid w:val="00144CB0"/>
    <w:rsid w:val="00145453"/>
    <w:rsid w:val="0014611F"/>
    <w:rsid w:val="00146861"/>
    <w:rsid w:val="001517E4"/>
    <w:rsid w:val="00151E7C"/>
    <w:rsid w:val="00153387"/>
    <w:rsid w:val="00153B62"/>
    <w:rsid w:val="00153D77"/>
    <w:rsid w:val="00154C55"/>
    <w:rsid w:val="00157C06"/>
    <w:rsid w:val="00161845"/>
    <w:rsid w:val="00162849"/>
    <w:rsid w:val="00166432"/>
    <w:rsid w:val="00167012"/>
    <w:rsid w:val="001671A8"/>
    <w:rsid w:val="0016761A"/>
    <w:rsid w:val="00167BE2"/>
    <w:rsid w:val="0017238E"/>
    <w:rsid w:val="00176E19"/>
    <w:rsid w:val="00177E2C"/>
    <w:rsid w:val="00180992"/>
    <w:rsid w:val="00180FD2"/>
    <w:rsid w:val="00180FD4"/>
    <w:rsid w:val="00181509"/>
    <w:rsid w:val="00181965"/>
    <w:rsid w:val="00185202"/>
    <w:rsid w:val="00187B69"/>
    <w:rsid w:val="0019050C"/>
    <w:rsid w:val="00192E8C"/>
    <w:rsid w:val="0019377B"/>
    <w:rsid w:val="0019391D"/>
    <w:rsid w:val="00193F7B"/>
    <w:rsid w:val="00194FC9"/>
    <w:rsid w:val="00195579"/>
    <w:rsid w:val="001A0839"/>
    <w:rsid w:val="001A33EF"/>
    <w:rsid w:val="001B2439"/>
    <w:rsid w:val="001B2EF9"/>
    <w:rsid w:val="001B4AB3"/>
    <w:rsid w:val="001B5250"/>
    <w:rsid w:val="001B5719"/>
    <w:rsid w:val="001B621C"/>
    <w:rsid w:val="001B64D0"/>
    <w:rsid w:val="001B7915"/>
    <w:rsid w:val="001C0FE6"/>
    <w:rsid w:val="001C19EB"/>
    <w:rsid w:val="001C1DDC"/>
    <w:rsid w:val="001C26FB"/>
    <w:rsid w:val="001C6925"/>
    <w:rsid w:val="001C7A4E"/>
    <w:rsid w:val="001C7AC5"/>
    <w:rsid w:val="001D04CA"/>
    <w:rsid w:val="001D19C3"/>
    <w:rsid w:val="001D218B"/>
    <w:rsid w:val="001E0AB3"/>
    <w:rsid w:val="001E1922"/>
    <w:rsid w:val="001E2071"/>
    <w:rsid w:val="001E2F96"/>
    <w:rsid w:val="001E31DF"/>
    <w:rsid w:val="001E4341"/>
    <w:rsid w:val="001E5580"/>
    <w:rsid w:val="001E5CFB"/>
    <w:rsid w:val="001E608B"/>
    <w:rsid w:val="001E69C1"/>
    <w:rsid w:val="001E7DCD"/>
    <w:rsid w:val="001E7FFA"/>
    <w:rsid w:val="001F0AFC"/>
    <w:rsid w:val="001F470F"/>
    <w:rsid w:val="001F4ACD"/>
    <w:rsid w:val="001F5105"/>
    <w:rsid w:val="001F6170"/>
    <w:rsid w:val="001F63D7"/>
    <w:rsid w:val="001F6ACF"/>
    <w:rsid w:val="001F6FB1"/>
    <w:rsid w:val="00200C8A"/>
    <w:rsid w:val="00201F3F"/>
    <w:rsid w:val="00204431"/>
    <w:rsid w:val="002045BC"/>
    <w:rsid w:val="0020464A"/>
    <w:rsid w:val="00204A25"/>
    <w:rsid w:val="00205B3B"/>
    <w:rsid w:val="0020608E"/>
    <w:rsid w:val="002073B6"/>
    <w:rsid w:val="002076CA"/>
    <w:rsid w:val="002079DD"/>
    <w:rsid w:val="00211BCA"/>
    <w:rsid w:val="00212DCC"/>
    <w:rsid w:val="00213B7B"/>
    <w:rsid w:val="002141C1"/>
    <w:rsid w:val="00215A82"/>
    <w:rsid w:val="00216F2A"/>
    <w:rsid w:val="00217989"/>
    <w:rsid w:val="00220914"/>
    <w:rsid w:val="002215FE"/>
    <w:rsid w:val="0022191D"/>
    <w:rsid w:val="00221D61"/>
    <w:rsid w:val="00221FB3"/>
    <w:rsid w:val="002224C4"/>
    <w:rsid w:val="00222701"/>
    <w:rsid w:val="00223324"/>
    <w:rsid w:val="00224456"/>
    <w:rsid w:val="00225BEA"/>
    <w:rsid w:val="00225C1C"/>
    <w:rsid w:val="002264FA"/>
    <w:rsid w:val="00230440"/>
    <w:rsid w:val="00230AAB"/>
    <w:rsid w:val="00231A19"/>
    <w:rsid w:val="00232081"/>
    <w:rsid w:val="00232DA1"/>
    <w:rsid w:val="002351A8"/>
    <w:rsid w:val="002351E6"/>
    <w:rsid w:val="002378BD"/>
    <w:rsid w:val="00237B26"/>
    <w:rsid w:val="00240303"/>
    <w:rsid w:val="0024180A"/>
    <w:rsid w:val="0024268D"/>
    <w:rsid w:val="00250442"/>
    <w:rsid w:val="00250A66"/>
    <w:rsid w:val="00254EC2"/>
    <w:rsid w:val="002550AB"/>
    <w:rsid w:val="00255388"/>
    <w:rsid w:val="00256322"/>
    <w:rsid w:val="00256E24"/>
    <w:rsid w:val="002575A8"/>
    <w:rsid w:val="00260476"/>
    <w:rsid w:val="00261B88"/>
    <w:rsid w:val="0026229E"/>
    <w:rsid w:val="002622CD"/>
    <w:rsid w:val="00266574"/>
    <w:rsid w:val="002668F8"/>
    <w:rsid w:val="00270E78"/>
    <w:rsid w:val="00271390"/>
    <w:rsid w:val="002714E9"/>
    <w:rsid w:val="002718C5"/>
    <w:rsid w:val="00271AB9"/>
    <w:rsid w:val="0027245E"/>
    <w:rsid w:val="00272BB5"/>
    <w:rsid w:val="002743A4"/>
    <w:rsid w:val="00274BCC"/>
    <w:rsid w:val="00275406"/>
    <w:rsid w:val="002769E7"/>
    <w:rsid w:val="00277772"/>
    <w:rsid w:val="00281882"/>
    <w:rsid w:val="00281D99"/>
    <w:rsid w:val="002821B9"/>
    <w:rsid w:val="002833E0"/>
    <w:rsid w:val="0028450D"/>
    <w:rsid w:val="00291EBF"/>
    <w:rsid w:val="00292DBC"/>
    <w:rsid w:val="00296D8E"/>
    <w:rsid w:val="002A0772"/>
    <w:rsid w:val="002A276C"/>
    <w:rsid w:val="002A7082"/>
    <w:rsid w:val="002B0601"/>
    <w:rsid w:val="002B10C7"/>
    <w:rsid w:val="002B66EF"/>
    <w:rsid w:val="002B6EC9"/>
    <w:rsid w:val="002B7609"/>
    <w:rsid w:val="002C0665"/>
    <w:rsid w:val="002C2C92"/>
    <w:rsid w:val="002C4749"/>
    <w:rsid w:val="002C49CF"/>
    <w:rsid w:val="002C6317"/>
    <w:rsid w:val="002D07B9"/>
    <w:rsid w:val="002D0C71"/>
    <w:rsid w:val="002D0F04"/>
    <w:rsid w:val="002D31A6"/>
    <w:rsid w:val="002D4A56"/>
    <w:rsid w:val="002D797A"/>
    <w:rsid w:val="002E0BC4"/>
    <w:rsid w:val="002E184C"/>
    <w:rsid w:val="002E2CAE"/>
    <w:rsid w:val="002E4E92"/>
    <w:rsid w:val="002E59D8"/>
    <w:rsid w:val="002E60FC"/>
    <w:rsid w:val="002E6409"/>
    <w:rsid w:val="002F137A"/>
    <w:rsid w:val="002F267D"/>
    <w:rsid w:val="002F3D30"/>
    <w:rsid w:val="002F41A4"/>
    <w:rsid w:val="002F48E3"/>
    <w:rsid w:val="002F6BBA"/>
    <w:rsid w:val="002F6DFA"/>
    <w:rsid w:val="002F7C5F"/>
    <w:rsid w:val="0030038F"/>
    <w:rsid w:val="00302D7F"/>
    <w:rsid w:val="00305125"/>
    <w:rsid w:val="00306442"/>
    <w:rsid w:val="003069FB"/>
    <w:rsid w:val="00312C0C"/>
    <w:rsid w:val="00313AA2"/>
    <w:rsid w:val="003200C9"/>
    <w:rsid w:val="003209C7"/>
    <w:rsid w:val="0032306D"/>
    <w:rsid w:val="00326170"/>
    <w:rsid w:val="003263E9"/>
    <w:rsid w:val="00326D35"/>
    <w:rsid w:val="00331183"/>
    <w:rsid w:val="00331B83"/>
    <w:rsid w:val="00332063"/>
    <w:rsid w:val="00332EAD"/>
    <w:rsid w:val="00333AB9"/>
    <w:rsid w:val="00333C06"/>
    <w:rsid w:val="0033459B"/>
    <w:rsid w:val="00335BE8"/>
    <w:rsid w:val="00337C87"/>
    <w:rsid w:val="00340C2E"/>
    <w:rsid w:val="0034265F"/>
    <w:rsid w:val="003437DD"/>
    <w:rsid w:val="00343A49"/>
    <w:rsid w:val="0034452C"/>
    <w:rsid w:val="00346441"/>
    <w:rsid w:val="003475EC"/>
    <w:rsid w:val="0035076B"/>
    <w:rsid w:val="00352BEB"/>
    <w:rsid w:val="00353885"/>
    <w:rsid w:val="00354A58"/>
    <w:rsid w:val="00356070"/>
    <w:rsid w:val="00361EB1"/>
    <w:rsid w:val="003629D1"/>
    <w:rsid w:val="003637CE"/>
    <w:rsid w:val="00367D6C"/>
    <w:rsid w:val="003715EC"/>
    <w:rsid w:val="00373753"/>
    <w:rsid w:val="0037476F"/>
    <w:rsid w:val="003751C8"/>
    <w:rsid w:val="00376867"/>
    <w:rsid w:val="00376A96"/>
    <w:rsid w:val="003772AC"/>
    <w:rsid w:val="0038168A"/>
    <w:rsid w:val="00381E56"/>
    <w:rsid w:val="003826FF"/>
    <w:rsid w:val="00393D9D"/>
    <w:rsid w:val="00393E61"/>
    <w:rsid w:val="00396D02"/>
    <w:rsid w:val="003A0041"/>
    <w:rsid w:val="003A1485"/>
    <w:rsid w:val="003A1C3E"/>
    <w:rsid w:val="003A2810"/>
    <w:rsid w:val="003A2970"/>
    <w:rsid w:val="003A5088"/>
    <w:rsid w:val="003A662B"/>
    <w:rsid w:val="003A7D80"/>
    <w:rsid w:val="003B0E46"/>
    <w:rsid w:val="003B14AA"/>
    <w:rsid w:val="003B19C7"/>
    <w:rsid w:val="003B25A5"/>
    <w:rsid w:val="003B3120"/>
    <w:rsid w:val="003B3537"/>
    <w:rsid w:val="003B567E"/>
    <w:rsid w:val="003B6932"/>
    <w:rsid w:val="003B79EB"/>
    <w:rsid w:val="003B7ED0"/>
    <w:rsid w:val="003C0D91"/>
    <w:rsid w:val="003C3E42"/>
    <w:rsid w:val="003C4B05"/>
    <w:rsid w:val="003C578B"/>
    <w:rsid w:val="003C72E2"/>
    <w:rsid w:val="003D07D2"/>
    <w:rsid w:val="003D5B84"/>
    <w:rsid w:val="003D6B19"/>
    <w:rsid w:val="003D79CF"/>
    <w:rsid w:val="003E0207"/>
    <w:rsid w:val="003E0E36"/>
    <w:rsid w:val="003E304D"/>
    <w:rsid w:val="003E4AA5"/>
    <w:rsid w:val="003E4DD5"/>
    <w:rsid w:val="003E67C2"/>
    <w:rsid w:val="003F0964"/>
    <w:rsid w:val="003F18A1"/>
    <w:rsid w:val="003F1D93"/>
    <w:rsid w:val="003F2EB6"/>
    <w:rsid w:val="003F4897"/>
    <w:rsid w:val="003F6587"/>
    <w:rsid w:val="003F6EB6"/>
    <w:rsid w:val="00400454"/>
    <w:rsid w:val="00402C7D"/>
    <w:rsid w:val="00403A74"/>
    <w:rsid w:val="00407351"/>
    <w:rsid w:val="00407C2D"/>
    <w:rsid w:val="004106DF"/>
    <w:rsid w:val="00411A71"/>
    <w:rsid w:val="00411C0C"/>
    <w:rsid w:val="0041364A"/>
    <w:rsid w:val="0041399A"/>
    <w:rsid w:val="00414535"/>
    <w:rsid w:val="00414EA0"/>
    <w:rsid w:val="0041737A"/>
    <w:rsid w:val="00420D64"/>
    <w:rsid w:val="00424E85"/>
    <w:rsid w:val="00425BE9"/>
    <w:rsid w:val="00427072"/>
    <w:rsid w:val="00432932"/>
    <w:rsid w:val="0043585C"/>
    <w:rsid w:val="00441F35"/>
    <w:rsid w:val="00443205"/>
    <w:rsid w:val="004439D2"/>
    <w:rsid w:val="004503E9"/>
    <w:rsid w:val="004528B6"/>
    <w:rsid w:val="00453463"/>
    <w:rsid w:val="00453F49"/>
    <w:rsid w:val="004550E4"/>
    <w:rsid w:val="004637E8"/>
    <w:rsid w:val="00467368"/>
    <w:rsid w:val="004674CD"/>
    <w:rsid w:val="004710EE"/>
    <w:rsid w:val="00472E56"/>
    <w:rsid w:val="004740EC"/>
    <w:rsid w:val="004750E1"/>
    <w:rsid w:val="004819CF"/>
    <w:rsid w:val="00481DA2"/>
    <w:rsid w:val="00482168"/>
    <w:rsid w:val="00482432"/>
    <w:rsid w:val="00483565"/>
    <w:rsid w:val="00484866"/>
    <w:rsid w:val="004859D6"/>
    <w:rsid w:val="00485FD1"/>
    <w:rsid w:val="0048797E"/>
    <w:rsid w:val="00487DD3"/>
    <w:rsid w:val="004902C8"/>
    <w:rsid w:val="004905D4"/>
    <w:rsid w:val="00492E44"/>
    <w:rsid w:val="004947B9"/>
    <w:rsid w:val="0049514C"/>
    <w:rsid w:val="004963E0"/>
    <w:rsid w:val="00496DFD"/>
    <w:rsid w:val="004A0C8B"/>
    <w:rsid w:val="004A187E"/>
    <w:rsid w:val="004A1D04"/>
    <w:rsid w:val="004A1F5C"/>
    <w:rsid w:val="004A26C2"/>
    <w:rsid w:val="004A2DD8"/>
    <w:rsid w:val="004A335F"/>
    <w:rsid w:val="004A3F3D"/>
    <w:rsid w:val="004A4FDB"/>
    <w:rsid w:val="004A5FC0"/>
    <w:rsid w:val="004A7316"/>
    <w:rsid w:val="004A7C83"/>
    <w:rsid w:val="004B1FFE"/>
    <w:rsid w:val="004B2F8C"/>
    <w:rsid w:val="004B460B"/>
    <w:rsid w:val="004B4EDE"/>
    <w:rsid w:val="004B589F"/>
    <w:rsid w:val="004B661B"/>
    <w:rsid w:val="004B76DC"/>
    <w:rsid w:val="004C0B2C"/>
    <w:rsid w:val="004C1E2F"/>
    <w:rsid w:val="004C3BEB"/>
    <w:rsid w:val="004C59ED"/>
    <w:rsid w:val="004C65D5"/>
    <w:rsid w:val="004D1340"/>
    <w:rsid w:val="004D7295"/>
    <w:rsid w:val="004E03B8"/>
    <w:rsid w:val="004E140A"/>
    <w:rsid w:val="004E154B"/>
    <w:rsid w:val="004E1914"/>
    <w:rsid w:val="004E3613"/>
    <w:rsid w:val="004E3AFD"/>
    <w:rsid w:val="004E3CAD"/>
    <w:rsid w:val="004E6C69"/>
    <w:rsid w:val="004E7D77"/>
    <w:rsid w:val="004F0E1F"/>
    <w:rsid w:val="004F101E"/>
    <w:rsid w:val="004F2A11"/>
    <w:rsid w:val="004F3166"/>
    <w:rsid w:val="004F3208"/>
    <w:rsid w:val="004F4003"/>
    <w:rsid w:val="004F54D2"/>
    <w:rsid w:val="004F6193"/>
    <w:rsid w:val="004F7FC9"/>
    <w:rsid w:val="00500785"/>
    <w:rsid w:val="00501713"/>
    <w:rsid w:val="00505F41"/>
    <w:rsid w:val="0050794C"/>
    <w:rsid w:val="0051075B"/>
    <w:rsid w:val="00511236"/>
    <w:rsid w:val="00511539"/>
    <w:rsid w:val="00512DE0"/>
    <w:rsid w:val="0051361F"/>
    <w:rsid w:val="00515455"/>
    <w:rsid w:val="005160A8"/>
    <w:rsid w:val="00516317"/>
    <w:rsid w:val="00516615"/>
    <w:rsid w:val="005174FF"/>
    <w:rsid w:val="00520EC3"/>
    <w:rsid w:val="0052138C"/>
    <w:rsid w:val="005213A1"/>
    <w:rsid w:val="00521EC1"/>
    <w:rsid w:val="00523156"/>
    <w:rsid w:val="00523362"/>
    <w:rsid w:val="00523B26"/>
    <w:rsid w:val="0052442F"/>
    <w:rsid w:val="00526CFA"/>
    <w:rsid w:val="00530415"/>
    <w:rsid w:val="0053095F"/>
    <w:rsid w:val="00530CAF"/>
    <w:rsid w:val="0053172B"/>
    <w:rsid w:val="00532941"/>
    <w:rsid w:val="005342C1"/>
    <w:rsid w:val="00535A39"/>
    <w:rsid w:val="005373E3"/>
    <w:rsid w:val="00540DCE"/>
    <w:rsid w:val="00540DD7"/>
    <w:rsid w:val="00541F86"/>
    <w:rsid w:val="00541FCB"/>
    <w:rsid w:val="0054283A"/>
    <w:rsid w:val="00543D36"/>
    <w:rsid w:val="00545E9C"/>
    <w:rsid w:val="00547658"/>
    <w:rsid w:val="0054768C"/>
    <w:rsid w:val="0055343D"/>
    <w:rsid w:val="0055649A"/>
    <w:rsid w:val="00563102"/>
    <w:rsid w:val="00572013"/>
    <w:rsid w:val="00573257"/>
    <w:rsid w:val="00575F6D"/>
    <w:rsid w:val="005778F7"/>
    <w:rsid w:val="00577A3F"/>
    <w:rsid w:val="005805DF"/>
    <w:rsid w:val="0058279C"/>
    <w:rsid w:val="0058326E"/>
    <w:rsid w:val="005833B8"/>
    <w:rsid w:val="00583A03"/>
    <w:rsid w:val="005841BA"/>
    <w:rsid w:val="00584301"/>
    <w:rsid w:val="005857EE"/>
    <w:rsid w:val="005877F2"/>
    <w:rsid w:val="00592442"/>
    <w:rsid w:val="0059283B"/>
    <w:rsid w:val="00592F00"/>
    <w:rsid w:val="00593E92"/>
    <w:rsid w:val="005949F1"/>
    <w:rsid w:val="00594C35"/>
    <w:rsid w:val="00594CA5"/>
    <w:rsid w:val="005956F7"/>
    <w:rsid w:val="00595CB2"/>
    <w:rsid w:val="005978C8"/>
    <w:rsid w:val="005A0A0F"/>
    <w:rsid w:val="005A1AD0"/>
    <w:rsid w:val="005A2361"/>
    <w:rsid w:val="005A24ED"/>
    <w:rsid w:val="005A2573"/>
    <w:rsid w:val="005A4783"/>
    <w:rsid w:val="005A6B87"/>
    <w:rsid w:val="005B0825"/>
    <w:rsid w:val="005B0A84"/>
    <w:rsid w:val="005B2D16"/>
    <w:rsid w:val="005B4DAF"/>
    <w:rsid w:val="005B56A0"/>
    <w:rsid w:val="005B5788"/>
    <w:rsid w:val="005B60D5"/>
    <w:rsid w:val="005B693A"/>
    <w:rsid w:val="005C11D6"/>
    <w:rsid w:val="005C12EA"/>
    <w:rsid w:val="005C1759"/>
    <w:rsid w:val="005C184F"/>
    <w:rsid w:val="005C234E"/>
    <w:rsid w:val="005D02EE"/>
    <w:rsid w:val="005D0C1B"/>
    <w:rsid w:val="005D120D"/>
    <w:rsid w:val="005D210E"/>
    <w:rsid w:val="005D3D27"/>
    <w:rsid w:val="005D464B"/>
    <w:rsid w:val="005D7D3A"/>
    <w:rsid w:val="005D7EB1"/>
    <w:rsid w:val="005E51F9"/>
    <w:rsid w:val="005E6EF7"/>
    <w:rsid w:val="005E736A"/>
    <w:rsid w:val="005E75FC"/>
    <w:rsid w:val="005F042D"/>
    <w:rsid w:val="005F3D1C"/>
    <w:rsid w:val="005F534C"/>
    <w:rsid w:val="005F75F8"/>
    <w:rsid w:val="0060449E"/>
    <w:rsid w:val="006044C7"/>
    <w:rsid w:val="006123B6"/>
    <w:rsid w:val="00613977"/>
    <w:rsid w:val="0061627D"/>
    <w:rsid w:val="00617711"/>
    <w:rsid w:val="006206C7"/>
    <w:rsid w:val="00622CC3"/>
    <w:rsid w:val="00622EC4"/>
    <w:rsid w:val="0062488B"/>
    <w:rsid w:val="006327F1"/>
    <w:rsid w:val="00632A03"/>
    <w:rsid w:val="00636167"/>
    <w:rsid w:val="00644417"/>
    <w:rsid w:val="00647075"/>
    <w:rsid w:val="00652EBE"/>
    <w:rsid w:val="006549EF"/>
    <w:rsid w:val="00655972"/>
    <w:rsid w:val="00655C14"/>
    <w:rsid w:val="00656420"/>
    <w:rsid w:val="0065699B"/>
    <w:rsid w:val="00656AAA"/>
    <w:rsid w:val="00662070"/>
    <w:rsid w:val="0066237A"/>
    <w:rsid w:val="006628A9"/>
    <w:rsid w:val="0066416E"/>
    <w:rsid w:val="00665A9F"/>
    <w:rsid w:val="00665B37"/>
    <w:rsid w:val="00665DA0"/>
    <w:rsid w:val="006719D8"/>
    <w:rsid w:val="0067364F"/>
    <w:rsid w:val="00675D81"/>
    <w:rsid w:val="00676455"/>
    <w:rsid w:val="00676EB9"/>
    <w:rsid w:val="00677E6B"/>
    <w:rsid w:val="00682510"/>
    <w:rsid w:val="00682661"/>
    <w:rsid w:val="00682B00"/>
    <w:rsid w:val="00685AA5"/>
    <w:rsid w:val="00685FB4"/>
    <w:rsid w:val="006863DA"/>
    <w:rsid w:val="00687CA7"/>
    <w:rsid w:val="00687D3A"/>
    <w:rsid w:val="006925E2"/>
    <w:rsid w:val="006A0231"/>
    <w:rsid w:val="006A090C"/>
    <w:rsid w:val="006A1384"/>
    <w:rsid w:val="006A34DA"/>
    <w:rsid w:val="006A6246"/>
    <w:rsid w:val="006A6AEE"/>
    <w:rsid w:val="006B027E"/>
    <w:rsid w:val="006B0965"/>
    <w:rsid w:val="006B6754"/>
    <w:rsid w:val="006B71FD"/>
    <w:rsid w:val="006C0661"/>
    <w:rsid w:val="006C0E3B"/>
    <w:rsid w:val="006C18AF"/>
    <w:rsid w:val="006C1D12"/>
    <w:rsid w:val="006C5EC9"/>
    <w:rsid w:val="006C7C8B"/>
    <w:rsid w:val="006D29E6"/>
    <w:rsid w:val="006D3D6E"/>
    <w:rsid w:val="006D428D"/>
    <w:rsid w:val="006D449D"/>
    <w:rsid w:val="006D5851"/>
    <w:rsid w:val="006D5DAA"/>
    <w:rsid w:val="006D60D9"/>
    <w:rsid w:val="006D6178"/>
    <w:rsid w:val="006E0C37"/>
    <w:rsid w:val="006E361D"/>
    <w:rsid w:val="006E3810"/>
    <w:rsid w:val="006E44B1"/>
    <w:rsid w:val="006E492E"/>
    <w:rsid w:val="006E4C9D"/>
    <w:rsid w:val="006E5333"/>
    <w:rsid w:val="006E58AF"/>
    <w:rsid w:val="006E5DCF"/>
    <w:rsid w:val="006E669C"/>
    <w:rsid w:val="006E786F"/>
    <w:rsid w:val="006E7CF8"/>
    <w:rsid w:val="006F01C3"/>
    <w:rsid w:val="006F1251"/>
    <w:rsid w:val="006F5B9E"/>
    <w:rsid w:val="006F7480"/>
    <w:rsid w:val="0070124C"/>
    <w:rsid w:val="007017C6"/>
    <w:rsid w:val="007027BB"/>
    <w:rsid w:val="00705140"/>
    <w:rsid w:val="00705B09"/>
    <w:rsid w:val="007066C5"/>
    <w:rsid w:val="00710CA7"/>
    <w:rsid w:val="00712FFF"/>
    <w:rsid w:val="007142C8"/>
    <w:rsid w:val="00717A32"/>
    <w:rsid w:val="00720729"/>
    <w:rsid w:val="007212E2"/>
    <w:rsid w:val="00723DEB"/>
    <w:rsid w:val="007240E7"/>
    <w:rsid w:val="007258FD"/>
    <w:rsid w:val="007277F9"/>
    <w:rsid w:val="007315A7"/>
    <w:rsid w:val="00731AEB"/>
    <w:rsid w:val="00732039"/>
    <w:rsid w:val="00735BBC"/>
    <w:rsid w:val="00740C36"/>
    <w:rsid w:val="00741A8F"/>
    <w:rsid w:val="00742008"/>
    <w:rsid w:val="00743BA0"/>
    <w:rsid w:val="00747DFD"/>
    <w:rsid w:val="00753C3E"/>
    <w:rsid w:val="00754329"/>
    <w:rsid w:val="007547A1"/>
    <w:rsid w:val="00756935"/>
    <w:rsid w:val="00756A93"/>
    <w:rsid w:val="0075769A"/>
    <w:rsid w:val="00765DEF"/>
    <w:rsid w:val="00766E46"/>
    <w:rsid w:val="00770E6E"/>
    <w:rsid w:val="00771A7C"/>
    <w:rsid w:val="0077230A"/>
    <w:rsid w:val="00772725"/>
    <w:rsid w:val="00773EB7"/>
    <w:rsid w:val="007751AA"/>
    <w:rsid w:val="00777AD7"/>
    <w:rsid w:val="00782B95"/>
    <w:rsid w:val="007840F3"/>
    <w:rsid w:val="00784AB5"/>
    <w:rsid w:val="00784C44"/>
    <w:rsid w:val="007912CE"/>
    <w:rsid w:val="007934C4"/>
    <w:rsid w:val="0079451D"/>
    <w:rsid w:val="00795966"/>
    <w:rsid w:val="007A04C8"/>
    <w:rsid w:val="007A3102"/>
    <w:rsid w:val="007A3B30"/>
    <w:rsid w:val="007A3FC0"/>
    <w:rsid w:val="007A49BA"/>
    <w:rsid w:val="007A609F"/>
    <w:rsid w:val="007A7484"/>
    <w:rsid w:val="007B39E8"/>
    <w:rsid w:val="007B3EF9"/>
    <w:rsid w:val="007B57A1"/>
    <w:rsid w:val="007B7535"/>
    <w:rsid w:val="007C0D3D"/>
    <w:rsid w:val="007C2A08"/>
    <w:rsid w:val="007C60D8"/>
    <w:rsid w:val="007D0AC6"/>
    <w:rsid w:val="007D2077"/>
    <w:rsid w:val="007D4DC3"/>
    <w:rsid w:val="007D60C6"/>
    <w:rsid w:val="007D76E7"/>
    <w:rsid w:val="007D7A78"/>
    <w:rsid w:val="007E5812"/>
    <w:rsid w:val="007E68A5"/>
    <w:rsid w:val="007F01C2"/>
    <w:rsid w:val="007F1EC7"/>
    <w:rsid w:val="007F286F"/>
    <w:rsid w:val="007F2C82"/>
    <w:rsid w:val="007F36F4"/>
    <w:rsid w:val="007F3EAF"/>
    <w:rsid w:val="007F40B0"/>
    <w:rsid w:val="007F5F38"/>
    <w:rsid w:val="007F665B"/>
    <w:rsid w:val="00801922"/>
    <w:rsid w:val="00802116"/>
    <w:rsid w:val="008042C8"/>
    <w:rsid w:val="00805CFD"/>
    <w:rsid w:val="00807F15"/>
    <w:rsid w:val="00812E7F"/>
    <w:rsid w:val="0081359D"/>
    <w:rsid w:val="008136A0"/>
    <w:rsid w:val="00813CDD"/>
    <w:rsid w:val="00814164"/>
    <w:rsid w:val="00814AD7"/>
    <w:rsid w:val="00815A2E"/>
    <w:rsid w:val="008167BC"/>
    <w:rsid w:val="008168B9"/>
    <w:rsid w:val="00817787"/>
    <w:rsid w:val="00820B4E"/>
    <w:rsid w:val="00822488"/>
    <w:rsid w:val="00822945"/>
    <w:rsid w:val="00823B38"/>
    <w:rsid w:val="00823F1C"/>
    <w:rsid w:val="00824697"/>
    <w:rsid w:val="00827A30"/>
    <w:rsid w:val="008318B8"/>
    <w:rsid w:val="00831DDD"/>
    <w:rsid w:val="00832386"/>
    <w:rsid w:val="00832A5C"/>
    <w:rsid w:val="008332DA"/>
    <w:rsid w:val="008344C2"/>
    <w:rsid w:val="00834BAC"/>
    <w:rsid w:val="00836D01"/>
    <w:rsid w:val="008373F8"/>
    <w:rsid w:val="008379F3"/>
    <w:rsid w:val="00837EA3"/>
    <w:rsid w:val="00840495"/>
    <w:rsid w:val="008439A0"/>
    <w:rsid w:val="00843BE9"/>
    <w:rsid w:val="00843E6B"/>
    <w:rsid w:val="00847569"/>
    <w:rsid w:val="008508FF"/>
    <w:rsid w:val="00850CAC"/>
    <w:rsid w:val="00851B56"/>
    <w:rsid w:val="0085238C"/>
    <w:rsid w:val="008530DA"/>
    <w:rsid w:val="0085352C"/>
    <w:rsid w:val="008538D0"/>
    <w:rsid w:val="00853BF4"/>
    <w:rsid w:val="00854ED5"/>
    <w:rsid w:val="00855965"/>
    <w:rsid w:val="00855A2D"/>
    <w:rsid w:val="00856356"/>
    <w:rsid w:val="008563F2"/>
    <w:rsid w:val="00860671"/>
    <w:rsid w:val="00860F0E"/>
    <w:rsid w:val="008629D4"/>
    <w:rsid w:val="00862CD2"/>
    <w:rsid w:val="0086508B"/>
    <w:rsid w:val="00866E4F"/>
    <w:rsid w:val="0087156B"/>
    <w:rsid w:val="00872D7E"/>
    <w:rsid w:val="008754E6"/>
    <w:rsid w:val="0087776F"/>
    <w:rsid w:val="0088233C"/>
    <w:rsid w:val="0088280A"/>
    <w:rsid w:val="00883EB7"/>
    <w:rsid w:val="00884999"/>
    <w:rsid w:val="00892C9F"/>
    <w:rsid w:val="00892FBD"/>
    <w:rsid w:val="00893AD8"/>
    <w:rsid w:val="00893D2C"/>
    <w:rsid w:val="00894D11"/>
    <w:rsid w:val="0089523F"/>
    <w:rsid w:val="008967E5"/>
    <w:rsid w:val="00897BCF"/>
    <w:rsid w:val="008A07FE"/>
    <w:rsid w:val="008A12AD"/>
    <w:rsid w:val="008A1677"/>
    <w:rsid w:val="008A4B7F"/>
    <w:rsid w:val="008A5452"/>
    <w:rsid w:val="008A6436"/>
    <w:rsid w:val="008A6E5D"/>
    <w:rsid w:val="008B04B3"/>
    <w:rsid w:val="008B0584"/>
    <w:rsid w:val="008B060F"/>
    <w:rsid w:val="008B144F"/>
    <w:rsid w:val="008B1A88"/>
    <w:rsid w:val="008B279B"/>
    <w:rsid w:val="008B3B85"/>
    <w:rsid w:val="008B3C1A"/>
    <w:rsid w:val="008B4221"/>
    <w:rsid w:val="008B42E3"/>
    <w:rsid w:val="008B4E8C"/>
    <w:rsid w:val="008B60B8"/>
    <w:rsid w:val="008B7CA2"/>
    <w:rsid w:val="008C12BE"/>
    <w:rsid w:val="008C1B93"/>
    <w:rsid w:val="008C22C7"/>
    <w:rsid w:val="008C38EB"/>
    <w:rsid w:val="008C414B"/>
    <w:rsid w:val="008C54EA"/>
    <w:rsid w:val="008C6701"/>
    <w:rsid w:val="008C671C"/>
    <w:rsid w:val="008D28A9"/>
    <w:rsid w:val="008D3BDF"/>
    <w:rsid w:val="008D7EA2"/>
    <w:rsid w:val="008E0F80"/>
    <w:rsid w:val="008E1CA4"/>
    <w:rsid w:val="008E3FAA"/>
    <w:rsid w:val="008E737C"/>
    <w:rsid w:val="008F04A3"/>
    <w:rsid w:val="008F05B8"/>
    <w:rsid w:val="008F0C9D"/>
    <w:rsid w:val="008F0D5A"/>
    <w:rsid w:val="008F1C12"/>
    <w:rsid w:val="008F5A4B"/>
    <w:rsid w:val="008F5EF9"/>
    <w:rsid w:val="008F5F6F"/>
    <w:rsid w:val="008F75D4"/>
    <w:rsid w:val="00900EC1"/>
    <w:rsid w:val="00901214"/>
    <w:rsid w:val="00904D6D"/>
    <w:rsid w:val="00904EC8"/>
    <w:rsid w:val="00906951"/>
    <w:rsid w:val="0091187A"/>
    <w:rsid w:val="009128F9"/>
    <w:rsid w:val="00912FBC"/>
    <w:rsid w:val="009135FA"/>
    <w:rsid w:val="00913D3B"/>
    <w:rsid w:val="00913F75"/>
    <w:rsid w:val="00915DA5"/>
    <w:rsid w:val="009162AB"/>
    <w:rsid w:val="00917EBE"/>
    <w:rsid w:val="00921D05"/>
    <w:rsid w:val="0092257C"/>
    <w:rsid w:val="00923121"/>
    <w:rsid w:val="00923F6F"/>
    <w:rsid w:val="00925CC8"/>
    <w:rsid w:val="009314C3"/>
    <w:rsid w:val="009317FD"/>
    <w:rsid w:val="00933C70"/>
    <w:rsid w:val="00934DE4"/>
    <w:rsid w:val="009406FF"/>
    <w:rsid w:val="00941203"/>
    <w:rsid w:val="009416C1"/>
    <w:rsid w:val="0094264B"/>
    <w:rsid w:val="0094367D"/>
    <w:rsid w:val="00943FA1"/>
    <w:rsid w:val="00945A5C"/>
    <w:rsid w:val="00946389"/>
    <w:rsid w:val="0094738D"/>
    <w:rsid w:val="00950EF7"/>
    <w:rsid w:val="00954DC1"/>
    <w:rsid w:val="00955462"/>
    <w:rsid w:val="00956EB6"/>
    <w:rsid w:val="00956F83"/>
    <w:rsid w:val="00957C11"/>
    <w:rsid w:val="009617A9"/>
    <w:rsid w:val="009665BE"/>
    <w:rsid w:val="009673AB"/>
    <w:rsid w:val="00970E84"/>
    <w:rsid w:val="00971153"/>
    <w:rsid w:val="00972DAA"/>
    <w:rsid w:val="0097684D"/>
    <w:rsid w:val="00981036"/>
    <w:rsid w:val="00981E5F"/>
    <w:rsid w:val="00983846"/>
    <w:rsid w:val="00990CC8"/>
    <w:rsid w:val="0099227E"/>
    <w:rsid w:val="009949C5"/>
    <w:rsid w:val="00997C10"/>
    <w:rsid w:val="009A19B2"/>
    <w:rsid w:val="009A4193"/>
    <w:rsid w:val="009A61F0"/>
    <w:rsid w:val="009B3EC0"/>
    <w:rsid w:val="009B4878"/>
    <w:rsid w:val="009B5FE8"/>
    <w:rsid w:val="009B62B1"/>
    <w:rsid w:val="009B7695"/>
    <w:rsid w:val="009B76C2"/>
    <w:rsid w:val="009C06E2"/>
    <w:rsid w:val="009C080D"/>
    <w:rsid w:val="009C142A"/>
    <w:rsid w:val="009C5293"/>
    <w:rsid w:val="009D41DF"/>
    <w:rsid w:val="009D709E"/>
    <w:rsid w:val="009E0249"/>
    <w:rsid w:val="009E055A"/>
    <w:rsid w:val="009E0F0F"/>
    <w:rsid w:val="009E2DB3"/>
    <w:rsid w:val="009E36AC"/>
    <w:rsid w:val="009E41D1"/>
    <w:rsid w:val="009E44AE"/>
    <w:rsid w:val="009E4FB4"/>
    <w:rsid w:val="009E5694"/>
    <w:rsid w:val="009E585B"/>
    <w:rsid w:val="009E742D"/>
    <w:rsid w:val="009E7D5A"/>
    <w:rsid w:val="009F040E"/>
    <w:rsid w:val="009F1F65"/>
    <w:rsid w:val="009F3146"/>
    <w:rsid w:val="00A01765"/>
    <w:rsid w:val="00A02DD3"/>
    <w:rsid w:val="00A04D6C"/>
    <w:rsid w:val="00A05622"/>
    <w:rsid w:val="00A100B6"/>
    <w:rsid w:val="00A112D2"/>
    <w:rsid w:val="00A1136A"/>
    <w:rsid w:val="00A12DD9"/>
    <w:rsid w:val="00A135A2"/>
    <w:rsid w:val="00A16250"/>
    <w:rsid w:val="00A17296"/>
    <w:rsid w:val="00A17D28"/>
    <w:rsid w:val="00A21621"/>
    <w:rsid w:val="00A22457"/>
    <w:rsid w:val="00A22900"/>
    <w:rsid w:val="00A31E71"/>
    <w:rsid w:val="00A3312E"/>
    <w:rsid w:val="00A3340E"/>
    <w:rsid w:val="00A42248"/>
    <w:rsid w:val="00A426C8"/>
    <w:rsid w:val="00A42ABF"/>
    <w:rsid w:val="00A4427E"/>
    <w:rsid w:val="00A45398"/>
    <w:rsid w:val="00A46733"/>
    <w:rsid w:val="00A46ECF"/>
    <w:rsid w:val="00A477B8"/>
    <w:rsid w:val="00A47AD5"/>
    <w:rsid w:val="00A47F03"/>
    <w:rsid w:val="00A51683"/>
    <w:rsid w:val="00A51892"/>
    <w:rsid w:val="00A52037"/>
    <w:rsid w:val="00A52149"/>
    <w:rsid w:val="00A52366"/>
    <w:rsid w:val="00A52EAC"/>
    <w:rsid w:val="00A52FC1"/>
    <w:rsid w:val="00A5654D"/>
    <w:rsid w:val="00A56DE3"/>
    <w:rsid w:val="00A5724F"/>
    <w:rsid w:val="00A6214E"/>
    <w:rsid w:val="00A6261F"/>
    <w:rsid w:val="00A662A3"/>
    <w:rsid w:val="00A6661A"/>
    <w:rsid w:val="00A6697F"/>
    <w:rsid w:val="00A71C8A"/>
    <w:rsid w:val="00A71ED6"/>
    <w:rsid w:val="00A760E0"/>
    <w:rsid w:val="00A77E76"/>
    <w:rsid w:val="00A80090"/>
    <w:rsid w:val="00A82646"/>
    <w:rsid w:val="00A85A64"/>
    <w:rsid w:val="00A902D2"/>
    <w:rsid w:val="00A92430"/>
    <w:rsid w:val="00A93118"/>
    <w:rsid w:val="00A93D4E"/>
    <w:rsid w:val="00A94333"/>
    <w:rsid w:val="00A94C5E"/>
    <w:rsid w:val="00A950F7"/>
    <w:rsid w:val="00A97D90"/>
    <w:rsid w:val="00AA3EC5"/>
    <w:rsid w:val="00AA48F5"/>
    <w:rsid w:val="00AA4B39"/>
    <w:rsid w:val="00AA512B"/>
    <w:rsid w:val="00AA59BE"/>
    <w:rsid w:val="00AA608B"/>
    <w:rsid w:val="00AA77C0"/>
    <w:rsid w:val="00AB1CD7"/>
    <w:rsid w:val="00AB1F5C"/>
    <w:rsid w:val="00AB4311"/>
    <w:rsid w:val="00AB49DA"/>
    <w:rsid w:val="00AB59A7"/>
    <w:rsid w:val="00AB68F7"/>
    <w:rsid w:val="00AC06A7"/>
    <w:rsid w:val="00AC077B"/>
    <w:rsid w:val="00AC0C82"/>
    <w:rsid w:val="00AC1F08"/>
    <w:rsid w:val="00AC2751"/>
    <w:rsid w:val="00AC374E"/>
    <w:rsid w:val="00AC60ED"/>
    <w:rsid w:val="00AD1A38"/>
    <w:rsid w:val="00AD2373"/>
    <w:rsid w:val="00AD4DF3"/>
    <w:rsid w:val="00AD564C"/>
    <w:rsid w:val="00AD5DF4"/>
    <w:rsid w:val="00AD7639"/>
    <w:rsid w:val="00AE041B"/>
    <w:rsid w:val="00AE3182"/>
    <w:rsid w:val="00AE43A3"/>
    <w:rsid w:val="00AF095A"/>
    <w:rsid w:val="00AF1119"/>
    <w:rsid w:val="00AF59C3"/>
    <w:rsid w:val="00B011BB"/>
    <w:rsid w:val="00B012F2"/>
    <w:rsid w:val="00B0163B"/>
    <w:rsid w:val="00B04312"/>
    <w:rsid w:val="00B0539A"/>
    <w:rsid w:val="00B06669"/>
    <w:rsid w:val="00B06F09"/>
    <w:rsid w:val="00B07DF0"/>
    <w:rsid w:val="00B14782"/>
    <w:rsid w:val="00B14B32"/>
    <w:rsid w:val="00B14BA4"/>
    <w:rsid w:val="00B14C9C"/>
    <w:rsid w:val="00B14CD3"/>
    <w:rsid w:val="00B14E05"/>
    <w:rsid w:val="00B162E1"/>
    <w:rsid w:val="00B17156"/>
    <w:rsid w:val="00B17A29"/>
    <w:rsid w:val="00B17D85"/>
    <w:rsid w:val="00B21966"/>
    <w:rsid w:val="00B2363C"/>
    <w:rsid w:val="00B252F9"/>
    <w:rsid w:val="00B25977"/>
    <w:rsid w:val="00B271D8"/>
    <w:rsid w:val="00B27C45"/>
    <w:rsid w:val="00B313EB"/>
    <w:rsid w:val="00B3198A"/>
    <w:rsid w:val="00B34812"/>
    <w:rsid w:val="00B357AE"/>
    <w:rsid w:val="00B37E57"/>
    <w:rsid w:val="00B42FA5"/>
    <w:rsid w:val="00B439E7"/>
    <w:rsid w:val="00B514D3"/>
    <w:rsid w:val="00B51BC7"/>
    <w:rsid w:val="00B51E2C"/>
    <w:rsid w:val="00B52134"/>
    <w:rsid w:val="00B56063"/>
    <w:rsid w:val="00B570B0"/>
    <w:rsid w:val="00B57714"/>
    <w:rsid w:val="00B61620"/>
    <w:rsid w:val="00B64061"/>
    <w:rsid w:val="00B65BB6"/>
    <w:rsid w:val="00B7048C"/>
    <w:rsid w:val="00B71D8A"/>
    <w:rsid w:val="00B734FA"/>
    <w:rsid w:val="00B73F7D"/>
    <w:rsid w:val="00B743B9"/>
    <w:rsid w:val="00B768D7"/>
    <w:rsid w:val="00B7753D"/>
    <w:rsid w:val="00B778A3"/>
    <w:rsid w:val="00B809F3"/>
    <w:rsid w:val="00B85932"/>
    <w:rsid w:val="00B87588"/>
    <w:rsid w:val="00B92474"/>
    <w:rsid w:val="00BA2419"/>
    <w:rsid w:val="00BA2A58"/>
    <w:rsid w:val="00BB0F2F"/>
    <w:rsid w:val="00BB1C66"/>
    <w:rsid w:val="00BB3596"/>
    <w:rsid w:val="00BB3FB3"/>
    <w:rsid w:val="00BB48F9"/>
    <w:rsid w:val="00BB524D"/>
    <w:rsid w:val="00BB5385"/>
    <w:rsid w:val="00BB5653"/>
    <w:rsid w:val="00BB6E3C"/>
    <w:rsid w:val="00BC06CF"/>
    <w:rsid w:val="00BC0E05"/>
    <w:rsid w:val="00BC133D"/>
    <w:rsid w:val="00BC37CF"/>
    <w:rsid w:val="00BC3E9C"/>
    <w:rsid w:val="00BC4AF5"/>
    <w:rsid w:val="00BC4B07"/>
    <w:rsid w:val="00BC5AA5"/>
    <w:rsid w:val="00BC7CC2"/>
    <w:rsid w:val="00BD049F"/>
    <w:rsid w:val="00BD0E9D"/>
    <w:rsid w:val="00BD218A"/>
    <w:rsid w:val="00BD2B86"/>
    <w:rsid w:val="00BD399A"/>
    <w:rsid w:val="00BD557E"/>
    <w:rsid w:val="00BD5B18"/>
    <w:rsid w:val="00BD5F64"/>
    <w:rsid w:val="00BE0201"/>
    <w:rsid w:val="00BE2FF2"/>
    <w:rsid w:val="00BE3232"/>
    <w:rsid w:val="00BE51E6"/>
    <w:rsid w:val="00BE520C"/>
    <w:rsid w:val="00BF16AD"/>
    <w:rsid w:val="00BF2C8B"/>
    <w:rsid w:val="00BF34A7"/>
    <w:rsid w:val="00BF3B14"/>
    <w:rsid w:val="00BF6218"/>
    <w:rsid w:val="00C00EA2"/>
    <w:rsid w:val="00C011EE"/>
    <w:rsid w:val="00C02535"/>
    <w:rsid w:val="00C0352A"/>
    <w:rsid w:val="00C0425B"/>
    <w:rsid w:val="00C05811"/>
    <w:rsid w:val="00C0712B"/>
    <w:rsid w:val="00C07BEF"/>
    <w:rsid w:val="00C1015B"/>
    <w:rsid w:val="00C101D0"/>
    <w:rsid w:val="00C103A1"/>
    <w:rsid w:val="00C10A10"/>
    <w:rsid w:val="00C10D6A"/>
    <w:rsid w:val="00C10EC0"/>
    <w:rsid w:val="00C13B9C"/>
    <w:rsid w:val="00C14063"/>
    <w:rsid w:val="00C15102"/>
    <w:rsid w:val="00C15A56"/>
    <w:rsid w:val="00C20353"/>
    <w:rsid w:val="00C22F0A"/>
    <w:rsid w:val="00C2325B"/>
    <w:rsid w:val="00C255F5"/>
    <w:rsid w:val="00C25B1C"/>
    <w:rsid w:val="00C26299"/>
    <w:rsid w:val="00C311E4"/>
    <w:rsid w:val="00C322BB"/>
    <w:rsid w:val="00C33540"/>
    <w:rsid w:val="00C33DCD"/>
    <w:rsid w:val="00C350F2"/>
    <w:rsid w:val="00C35B73"/>
    <w:rsid w:val="00C35B8F"/>
    <w:rsid w:val="00C35FBE"/>
    <w:rsid w:val="00C3666D"/>
    <w:rsid w:val="00C40E59"/>
    <w:rsid w:val="00C418BF"/>
    <w:rsid w:val="00C4258F"/>
    <w:rsid w:val="00C44562"/>
    <w:rsid w:val="00C453FB"/>
    <w:rsid w:val="00C45DED"/>
    <w:rsid w:val="00C4630B"/>
    <w:rsid w:val="00C50166"/>
    <w:rsid w:val="00C502FF"/>
    <w:rsid w:val="00C51C74"/>
    <w:rsid w:val="00C55BED"/>
    <w:rsid w:val="00C55D03"/>
    <w:rsid w:val="00C55F3E"/>
    <w:rsid w:val="00C57311"/>
    <w:rsid w:val="00C61929"/>
    <w:rsid w:val="00C62E71"/>
    <w:rsid w:val="00C63059"/>
    <w:rsid w:val="00C631FE"/>
    <w:rsid w:val="00C63C08"/>
    <w:rsid w:val="00C66CCC"/>
    <w:rsid w:val="00C676A4"/>
    <w:rsid w:val="00C67EA4"/>
    <w:rsid w:val="00C700B6"/>
    <w:rsid w:val="00C7182A"/>
    <w:rsid w:val="00C71D59"/>
    <w:rsid w:val="00C723B3"/>
    <w:rsid w:val="00C72659"/>
    <w:rsid w:val="00C734AC"/>
    <w:rsid w:val="00C73BD7"/>
    <w:rsid w:val="00C7673C"/>
    <w:rsid w:val="00C80CAC"/>
    <w:rsid w:val="00C81C9C"/>
    <w:rsid w:val="00C82325"/>
    <w:rsid w:val="00C8516B"/>
    <w:rsid w:val="00C854C1"/>
    <w:rsid w:val="00C85B81"/>
    <w:rsid w:val="00C9178F"/>
    <w:rsid w:val="00C93F76"/>
    <w:rsid w:val="00C9655A"/>
    <w:rsid w:val="00C96FCA"/>
    <w:rsid w:val="00C9754D"/>
    <w:rsid w:val="00C975DF"/>
    <w:rsid w:val="00CA3EFD"/>
    <w:rsid w:val="00CA5D84"/>
    <w:rsid w:val="00CC1960"/>
    <w:rsid w:val="00CC2F23"/>
    <w:rsid w:val="00CC7B7A"/>
    <w:rsid w:val="00CD4F70"/>
    <w:rsid w:val="00CD574F"/>
    <w:rsid w:val="00CE1CF3"/>
    <w:rsid w:val="00CE23CE"/>
    <w:rsid w:val="00CE4BC0"/>
    <w:rsid w:val="00CE70F3"/>
    <w:rsid w:val="00CE7659"/>
    <w:rsid w:val="00CF0E18"/>
    <w:rsid w:val="00CF1C58"/>
    <w:rsid w:val="00CF29A4"/>
    <w:rsid w:val="00CF2F2E"/>
    <w:rsid w:val="00CF4D01"/>
    <w:rsid w:val="00CF5BEB"/>
    <w:rsid w:val="00CF624D"/>
    <w:rsid w:val="00CF6E34"/>
    <w:rsid w:val="00D0495F"/>
    <w:rsid w:val="00D0506E"/>
    <w:rsid w:val="00D060CE"/>
    <w:rsid w:val="00D066D9"/>
    <w:rsid w:val="00D076EF"/>
    <w:rsid w:val="00D07778"/>
    <w:rsid w:val="00D108C5"/>
    <w:rsid w:val="00D10D1E"/>
    <w:rsid w:val="00D10D7A"/>
    <w:rsid w:val="00D1187F"/>
    <w:rsid w:val="00D11C2D"/>
    <w:rsid w:val="00D1618D"/>
    <w:rsid w:val="00D167B1"/>
    <w:rsid w:val="00D167B5"/>
    <w:rsid w:val="00D16D1B"/>
    <w:rsid w:val="00D21F66"/>
    <w:rsid w:val="00D24B66"/>
    <w:rsid w:val="00D24C22"/>
    <w:rsid w:val="00D26476"/>
    <w:rsid w:val="00D31492"/>
    <w:rsid w:val="00D33136"/>
    <w:rsid w:val="00D3478B"/>
    <w:rsid w:val="00D35E12"/>
    <w:rsid w:val="00D413DD"/>
    <w:rsid w:val="00D4189D"/>
    <w:rsid w:val="00D424E3"/>
    <w:rsid w:val="00D4255A"/>
    <w:rsid w:val="00D42604"/>
    <w:rsid w:val="00D43436"/>
    <w:rsid w:val="00D4389A"/>
    <w:rsid w:val="00D4400C"/>
    <w:rsid w:val="00D4436A"/>
    <w:rsid w:val="00D45829"/>
    <w:rsid w:val="00D45DEF"/>
    <w:rsid w:val="00D45FB7"/>
    <w:rsid w:val="00D46347"/>
    <w:rsid w:val="00D46954"/>
    <w:rsid w:val="00D51E72"/>
    <w:rsid w:val="00D520E6"/>
    <w:rsid w:val="00D534EA"/>
    <w:rsid w:val="00D540A4"/>
    <w:rsid w:val="00D54DBC"/>
    <w:rsid w:val="00D570F3"/>
    <w:rsid w:val="00D57774"/>
    <w:rsid w:val="00D61C85"/>
    <w:rsid w:val="00D624E5"/>
    <w:rsid w:val="00D634A8"/>
    <w:rsid w:val="00D64C3D"/>
    <w:rsid w:val="00D65A1C"/>
    <w:rsid w:val="00D67099"/>
    <w:rsid w:val="00D71939"/>
    <w:rsid w:val="00D726F7"/>
    <w:rsid w:val="00D72D27"/>
    <w:rsid w:val="00D73317"/>
    <w:rsid w:val="00D743C8"/>
    <w:rsid w:val="00D743DA"/>
    <w:rsid w:val="00D744B5"/>
    <w:rsid w:val="00D745B1"/>
    <w:rsid w:val="00D74C5F"/>
    <w:rsid w:val="00D753F3"/>
    <w:rsid w:val="00D772DC"/>
    <w:rsid w:val="00D879AF"/>
    <w:rsid w:val="00D9045B"/>
    <w:rsid w:val="00D90EA9"/>
    <w:rsid w:val="00D93083"/>
    <w:rsid w:val="00D941C3"/>
    <w:rsid w:val="00D94A99"/>
    <w:rsid w:val="00D95324"/>
    <w:rsid w:val="00D95482"/>
    <w:rsid w:val="00DA0390"/>
    <w:rsid w:val="00DA1940"/>
    <w:rsid w:val="00DA3BBA"/>
    <w:rsid w:val="00DA3C3C"/>
    <w:rsid w:val="00DA7399"/>
    <w:rsid w:val="00DB05EC"/>
    <w:rsid w:val="00DB166E"/>
    <w:rsid w:val="00DB3D8C"/>
    <w:rsid w:val="00DB3E4C"/>
    <w:rsid w:val="00DB43B8"/>
    <w:rsid w:val="00DB7BD1"/>
    <w:rsid w:val="00DB7C8A"/>
    <w:rsid w:val="00DC2DC5"/>
    <w:rsid w:val="00DC341B"/>
    <w:rsid w:val="00DC4758"/>
    <w:rsid w:val="00DD0E87"/>
    <w:rsid w:val="00DD2BCD"/>
    <w:rsid w:val="00DD35E7"/>
    <w:rsid w:val="00DD4EAF"/>
    <w:rsid w:val="00DD5486"/>
    <w:rsid w:val="00DD650E"/>
    <w:rsid w:val="00DD7968"/>
    <w:rsid w:val="00DE0B7E"/>
    <w:rsid w:val="00DE1418"/>
    <w:rsid w:val="00DE2205"/>
    <w:rsid w:val="00DE421E"/>
    <w:rsid w:val="00DE5454"/>
    <w:rsid w:val="00DE6831"/>
    <w:rsid w:val="00DE7F41"/>
    <w:rsid w:val="00DF0F50"/>
    <w:rsid w:val="00DF2309"/>
    <w:rsid w:val="00DF28DC"/>
    <w:rsid w:val="00DF3742"/>
    <w:rsid w:val="00DF3915"/>
    <w:rsid w:val="00DF44AC"/>
    <w:rsid w:val="00DF4CE2"/>
    <w:rsid w:val="00E0168F"/>
    <w:rsid w:val="00E11575"/>
    <w:rsid w:val="00E12071"/>
    <w:rsid w:val="00E12660"/>
    <w:rsid w:val="00E12838"/>
    <w:rsid w:val="00E15BBF"/>
    <w:rsid w:val="00E15ECD"/>
    <w:rsid w:val="00E230D8"/>
    <w:rsid w:val="00E239E2"/>
    <w:rsid w:val="00E23F00"/>
    <w:rsid w:val="00E2599A"/>
    <w:rsid w:val="00E26A0F"/>
    <w:rsid w:val="00E305A0"/>
    <w:rsid w:val="00E318D4"/>
    <w:rsid w:val="00E31F4B"/>
    <w:rsid w:val="00E339EE"/>
    <w:rsid w:val="00E3557A"/>
    <w:rsid w:val="00E4014C"/>
    <w:rsid w:val="00E401FC"/>
    <w:rsid w:val="00E41B8C"/>
    <w:rsid w:val="00E42D1B"/>
    <w:rsid w:val="00E4558E"/>
    <w:rsid w:val="00E46C0B"/>
    <w:rsid w:val="00E46FAB"/>
    <w:rsid w:val="00E474DC"/>
    <w:rsid w:val="00E5155C"/>
    <w:rsid w:val="00E52FF2"/>
    <w:rsid w:val="00E5385B"/>
    <w:rsid w:val="00E55EA9"/>
    <w:rsid w:val="00E56307"/>
    <w:rsid w:val="00E56D55"/>
    <w:rsid w:val="00E56F52"/>
    <w:rsid w:val="00E57D47"/>
    <w:rsid w:val="00E57F76"/>
    <w:rsid w:val="00E60696"/>
    <w:rsid w:val="00E607BC"/>
    <w:rsid w:val="00E6152A"/>
    <w:rsid w:val="00E619D6"/>
    <w:rsid w:val="00E62028"/>
    <w:rsid w:val="00E6393C"/>
    <w:rsid w:val="00E67E51"/>
    <w:rsid w:val="00E72731"/>
    <w:rsid w:val="00E73B52"/>
    <w:rsid w:val="00E76BE0"/>
    <w:rsid w:val="00E76BE5"/>
    <w:rsid w:val="00E77101"/>
    <w:rsid w:val="00E7790B"/>
    <w:rsid w:val="00E77E10"/>
    <w:rsid w:val="00E77E1F"/>
    <w:rsid w:val="00E81714"/>
    <w:rsid w:val="00E91546"/>
    <w:rsid w:val="00E91678"/>
    <w:rsid w:val="00E9206E"/>
    <w:rsid w:val="00E93438"/>
    <w:rsid w:val="00E93F64"/>
    <w:rsid w:val="00E94443"/>
    <w:rsid w:val="00E950B2"/>
    <w:rsid w:val="00E96092"/>
    <w:rsid w:val="00E96737"/>
    <w:rsid w:val="00E96B5C"/>
    <w:rsid w:val="00EA0668"/>
    <w:rsid w:val="00EA127F"/>
    <w:rsid w:val="00EA1F53"/>
    <w:rsid w:val="00EA2C41"/>
    <w:rsid w:val="00EA4376"/>
    <w:rsid w:val="00EA70DC"/>
    <w:rsid w:val="00EB01FF"/>
    <w:rsid w:val="00EB06C6"/>
    <w:rsid w:val="00EB1B47"/>
    <w:rsid w:val="00EB46E1"/>
    <w:rsid w:val="00EB7BD6"/>
    <w:rsid w:val="00EC20FD"/>
    <w:rsid w:val="00EC2EF8"/>
    <w:rsid w:val="00EC3DAC"/>
    <w:rsid w:val="00EC42FF"/>
    <w:rsid w:val="00EC5A73"/>
    <w:rsid w:val="00EC5CF8"/>
    <w:rsid w:val="00ED3B7C"/>
    <w:rsid w:val="00ED3D0C"/>
    <w:rsid w:val="00ED4AEF"/>
    <w:rsid w:val="00ED527A"/>
    <w:rsid w:val="00ED570E"/>
    <w:rsid w:val="00ED5CFE"/>
    <w:rsid w:val="00ED7D8C"/>
    <w:rsid w:val="00EE005A"/>
    <w:rsid w:val="00EE05CF"/>
    <w:rsid w:val="00EE077C"/>
    <w:rsid w:val="00EE10AE"/>
    <w:rsid w:val="00EE2DA2"/>
    <w:rsid w:val="00EE4290"/>
    <w:rsid w:val="00EE589E"/>
    <w:rsid w:val="00EE76D0"/>
    <w:rsid w:val="00EE7C89"/>
    <w:rsid w:val="00EE7FB7"/>
    <w:rsid w:val="00EF1185"/>
    <w:rsid w:val="00EF38A3"/>
    <w:rsid w:val="00EF5C2D"/>
    <w:rsid w:val="00EF754D"/>
    <w:rsid w:val="00F027E9"/>
    <w:rsid w:val="00F0775E"/>
    <w:rsid w:val="00F15BF4"/>
    <w:rsid w:val="00F15F69"/>
    <w:rsid w:val="00F1612D"/>
    <w:rsid w:val="00F173DD"/>
    <w:rsid w:val="00F21119"/>
    <w:rsid w:val="00F25164"/>
    <w:rsid w:val="00F266B5"/>
    <w:rsid w:val="00F277D3"/>
    <w:rsid w:val="00F30392"/>
    <w:rsid w:val="00F30997"/>
    <w:rsid w:val="00F32896"/>
    <w:rsid w:val="00F33C08"/>
    <w:rsid w:val="00F35ADB"/>
    <w:rsid w:val="00F37235"/>
    <w:rsid w:val="00F41AE7"/>
    <w:rsid w:val="00F41F44"/>
    <w:rsid w:val="00F42D17"/>
    <w:rsid w:val="00F457A0"/>
    <w:rsid w:val="00F46492"/>
    <w:rsid w:val="00F477B5"/>
    <w:rsid w:val="00F47B01"/>
    <w:rsid w:val="00F5057E"/>
    <w:rsid w:val="00F53410"/>
    <w:rsid w:val="00F541F8"/>
    <w:rsid w:val="00F5470A"/>
    <w:rsid w:val="00F551E6"/>
    <w:rsid w:val="00F5563D"/>
    <w:rsid w:val="00F56891"/>
    <w:rsid w:val="00F64CD4"/>
    <w:rsid w:val="00F64F37"/>
    <w:rsid w:val="00F65AB2"/>
    <w:rsid w:val="00F73E78"/>
    <w:rsid w:val="00F740C2"/>
    <w:rsid w:val="00F7591E"/>
    <w:rsid w:val="00F75CA3"/>
    <w:rsid w:val="00F75EF9"/>
    <w:rsid w:val="00F77A9B"/>
    <w:rsid w:val="00F83035"/>
    <w:rsid w:val="00F866B0"/>
    <w:rsid w:val="00F869EF"/>
    <w:rsid w:val="00F86BE4"/>
    <w:rsid w:val="00F86C7B"/>
    <w:rsid w:val="00F86D61"/>
    <w:rsid w:val="00F902B7"/>
    <w:rsid w:val="00F905B6"/>
    <w:rsid w:val="00F90B31"/>
    <w:rsid w:val="00F914B2"/>
    <w:rsid w:val="00F926B9"/>
    <w:rsid w:val="00F9541D"/>
    <w:rsid w:val="00F96847"/>
    <w:rsid w:val="00FA0403"/>
    <w:rsid w:val="00FA0CE6"/>
    <w:rsid w:val="00FA35FB"/>
    <w:rsid w:val="00FA5742"/>
    <w:rsid w:val="00FA597D"/>
    <w:rsid w:val="00FA5B9A"/>
    <w:rsid w:val="00FA7BF0"/>
    <w:rsid w:val="00FB01B9"/>
    <w:rsid w:val="00FB763A"/>
    <w:rsid w:val="00FB79C0"/>
    <w:rsid w:val="00FC2EB8"/>
    <w:rsid w:val="00FC5C43"/>
    <w:rsid w:val="00FD1598"/>
    <w:rsid w:val="00FD576E"/>
    <w:rsid w:val="00FD596B"/>
    <w:rsid w:val="00FD6FBB"/>
    <w:rsid w:val="00FE0D6C"/>
    <w:rsid w:val="00FE58CC"/>
    <w:rsid w:val="00FE75A9"/>
    <w:rsid w:val="00FF058D"/>
    <w:rsid w:val="00FF1D8E"/>
    <w:rsid w:val="00FF2440"/>
    <w:rsid w:val="00FF322C"/>
    <w:rsid w:val="00FF33B7"/>
    <w:rsid w:val="00FF3922"/>
    <w:rsid w:val="00FF7745"/>
    <w:rsid w:val="00FF7BCB"/>
  </w:rsids>
  <m:mathPr>
    <m:mathFont m:val="Cambria Math"/>
    <m:brkBin m:val="before"/>
    <m:brkBinSub m:val="--"/>
    <m:smallFrac m:val="0"/>
    <m:dispDef/>
    <m:lMargin m:val="0"/>
    <m:rMargin m:val="0"/>
    <m:defJc m:val="centerGroup"/>
    <m:wrapIndent m:val="1440"/>
    <m:intLim m:val="subSup"/>
    <m:naryLim m:val="undOvr"/>
  </m:mathPr>
  <w:themeFontLang w:val="ms-MY"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3768E8"/>
  <w15:docId w15:val="{BB16303D-D086-4628-A39C-71F039D8D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1546"/>
  </w:style>
  <w:style w:type="paragraph" w:styleId="Heading1">
    <w:name w:val="heading 1"/>
    <w:basedOn w:val="Normal"/>
    <w:next w:val="Normal"/>
    <w:qFormat/>
    <w:rsid w:val="00C15A56"/>
    <w:pPr>
      <w:keepNext/>
      <w:spacing w:line="480" w:lineRule="auto"/>
      <w:jc w:val="center"/>
      <w:outlineLvl w:val="0"/>
    </w:pPr>
    <w:rPr>
      <w:b/>
      <w:bCs/>
    </w:rPr>
  </w:style>
  <w:style w:type="paragraph" w:styleId="Heading2">
    <w:name w:val="heading 2"/>
    <w:basedOn w:val="Normal"/>
    <w:next w:val="Normal"/>
    <w:qFormat/>
    <w:rsid w:val="00FA0403"/>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DB3D8C"/>
    <w:pPr>
      <w:keepNext/>
      <w:spacing w:before="240" w:after="60"/>
      <w:outlineLvl w:val="2"/>
    </w:pPr>
    <w:rPr>
      <w:rFonts w:ascii="Arial" w:hAnsi="Arial" w:cs="Arial"/>
      <w:b/>
      <w:bCs/>
      <w:sz w:val="26"/>
      <w:szCs w:val="26"/>
    </w:rPr>
  </w:style>
  <w:style w:type="paragraph" w:styleId="Heading4">
    <w:name w:val="heading 4"/>
    <w:basedOn w:val="Normal"/>
    <w:next w:val="Normal"/>
    <w:qFormat/>
    <w:rsid w:val="004710EE"/>
    <w:pPr>
      <w:keepNext/>
      <w:spacing w:before="240" w:after="60"/>
      <w:outlineLvl w:val="3"/>
    </w:pPr>
    <w:rPr>
      <w:b/>
      <w:bCs/>
      <w:sz w:val="28"/>
      <w:szCs w:val="28"/>
    </w:rPr>
  </w:style>
  <w:style w:type="paragraph" w:styleId="Heading5">
    <w:name w:val="heading 5"/>
    <w:basedOn w:val="Normal"/>
    <w:next w:val="Normal"/>
    <w:qFormat/>
    <w:rsid w:val="00DB3D8C"/>
    <w:pPr>
      <w:spacing w:before="240" w:after="60"/>
      <w:outlineLvl w:val="4"/>
    </w:pPr>
    <w:rPr>
      <w:b/>
      <w:bCs/>
      <w:i/>
      <w:iCs/>
      <w:sz w:val="26"/>
      <w:szCs w:val="26"/>
    </w:rPr>
  </w:style>
  <w:style w:type="paragraph" w:styleId="Heading6">
    <w:name w:val="heading 6"/>
    <w:basedOn w:val="Normal"/>
    <w:next w:val="Normal"/>
    <w:qFormat/>
    <w:rsid w:val="00097958"/>
    <w:pPr>
      <w:keepNext/>
      <w:jc w:val="center"/>
      <w:outlineLvl w:val="5"/>
    </w:pPr>
    <w:rPr>
      <w:b/>
      <w:bCs/>
      <w:i/>
      <w:iCs/>
      <w:u w:val="single"/>
    </w:rPr>
  </w:style>
  <w:style w:type="paragraph" w:styleId="Heading7">
    <w:name w:val="heading 7"/>
    <w:basedOn w:val="Normal"/>
    <w:next w:val="Normal"/>
    <w:qFormat/>
    <w:rsid w:val="00DB3D8C"/>
    <w:pPr>
      <w:spacing w:before="240" w:after="60"/>
      <w:outlineLvl w:val="6"/>
    </w:pPr>
    <w:rPr>
      <w:sz w:val="24"/>
      <w:szCs w:val="24"/>
    </w:rPr>
  </w:style>
  <w:style w:type="paragraph" w:styleId="Heading8">
    <w:name w:val="heading 8"/>
    <w:basedOn w:val="Normal"/>
    <w:next w:val="Normal"/>
    <w:qFormat/>
    <w:rsid w:val="00097958"/>
    <w:pPr>
      <w:keepNext/>
      <w:outlineLvl w:val="7"/>
    </w:pPr>
    <w:rPr>
      <w:b/>
      <w:bCs/>
      <w:lang w:val="pl-PL" w:eastAsia="pl-PL"/>
    </w:rPr>
  </w:style>
  <w:style w:type="paragraph" w:styleId="Heading9">
    <w:name w:val="heading 9"/>
    <w:basedOn w:val="Normal"/>
    <w:next w:val="Normal"/>
    <w:qFormat/>
    <w:rsid w:val="00097958"/>
    <w:pPr>
      <w:keepNext/>
      <w:ind w:right="-4041"/>
      <w:outlineLvl w:val="8"/>
    </w:pPr>
    <w:rPr>
      <w:b/>
      <w:bCs/>
      <w:lang w:val="en-AU" w:eastAsia="pl-P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74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102A61"/>
    <w:rPr>
      <w:color w:val="0000FF"/>
      <w:u w:val="single"/>
    </w:rPr>
  </w:style>
  <w:style w:type="paragraph" w:styleId="Header">
    <w:name w:val="header"/>
    <w:basedOn w:val="Normal"/>
    <w:rsid w:val="0094367D"/>
    <w:pPr>
      <w:tabs>
        <w:tab w:val="center" w:pos="4320"/>
        <w:tab w:val="right" w:pos="8640"/>
      </w:tabs>
    </w:pPr>
  </w:style>
  <w:style w:type="paragraph" w:styleId="Footer">
    <w:name w:val="footer"/>
    <w:basedOn w:val="Normal"/>
    <w:rsid w:val="0094367D"/>
    <w:pPr>
      <w:tabs>
        <w:tab w:val="center" w:pos="4320"/>
        <w:tab w:val="right" w:pos="8640"/>
      </w:tabs>
    </w:pPr>
  </w:style>
  <w:style w:type="character" w:styleId="PageNumber">
    <w:name w:val="page number"/>
    <w:basedOn w:val="DefaultParagraphFont"/>
    <w:rsid w:val="0094367D"/>
  </w:style>
  <w:style w:type="paragraph" w:styleId="BalloonText">
    <w:name w:val="Balloon Text"/>
    <w:basedOn w:val="Normal"/>
    <w:semiHidden/>
    <w:rsid w:val="00061D77"/>
    <w:rPr>
      <w:rFonts w:ascii="Tahoma" w:hAnsi="Tahoma"/>
      <w:sz w:val="16"/>
      <w:szCs w:val="16"/>
    </w:rPr>
  </w:style>
  <w:style w:type="paragraph" w:styleId="BodyTextIndent">
    <w:name w:val="Body Text Indent"/>
    <w:basedOn w:val="Normal"/>
    <w:rsid w:val="00C15A56"/>
    <w:pPr>
      <w:spacing w:line="360" w:lineRule="auto"/>
      <w:ind w:left="456" w:firstLine="984"/>
      <w:jc w:val="both"/>
    </w:pPr>
    <w:rPr>
      <w:lang w:val="id-ID"/>
    </w:rPr>
  </w:style>
  <w:style w:type="paragraph" w:styleId="BodyTextIndent2">
    <w:name w:val="Body Text Indent 2"/>
    <w:basedOn w:val="Normal"/>
    <w:rsid w:val="00C15A56"/>
    <w:pPr>
      <w:spacing w:after="120" w:line="480" w:lineRule="auto"/>
      <w:ind w:left="360"/>
    </w:pPr>
  </w:style>
  <w:style w:type="paragraph" w:styleId="BodyText">
    <w:name w:val="Body Text"/>
    <w:basedOn w:val="Normal"/>
    <w:rsid w:val="00C15A56"/>
    <w:pPr>
      <w:spacing w:after="120"/>
    </w:pPr>
    <w:rPr>
      <w:lang w:val="id-ID" w:eastAsia="id-ID"/>
    </w:rPr>
  </w:style>
  <w:style w:type="paragraph" w:styleId="Caption">
    <w:name w:val="caption"/>
    <w:basedOn w:val="Normal"/>
    <w:next w:val="Normal"/>
    <w:qFormat/>
    <w:rsid w:val="00C15A56"/>
    <w:pPr>
      <w:spacing w:line="480" w:lineRule="auto"/>
      <w:jc w:val="center"/>
    </w:pPr>
    <w:rPr>
      <w:i/>
      <w:iCs/>
    </w:rPr>
  </w:style>
  <w:style w:type="character" w:styleId="FootnoteReference">
    <w:name w:val="footnote reference"/>
    <w:basedOn w:val="DefaultParagraphFont"/>
    <w:semiHidden/>
    <w:rsid w:val="00FA0403"/>
    <w:rPr>
      <w:vertAlign w:val="superscript"/>
    </w:rPr>
  </w:style>
  <w:style w:type="paragraph" w:styleId="FootnoteText">
    <w:name w:val="footnote text"/>
    <w:basedOn w:val="Normal"/>
    <w:semiHidden/>
    <w:rsid w:val="00FA0403"/>
    <w:rPr>
      <w:rFonts w:cs="Traditional Arabic"/>
      <w:lang w:eastAsia="ko-KR"/>
    </w:rPr>
  </w:style>
  <w:style w:type="paragraph" w:customStyle="1" w:styleId="Judulbab">
    <w:name w:val="Judul bab"/>
    <w:basedOn w:val="Normal"/>
    <w:rsid w:val="004710EE"/>
    <w:pPr>
      <w:spacing w:line="475" w:lineRule="atLeast"/>
      <w:jc w:val="center"/>
    </w:pPr>
    <w:rPr>
      <w:b/>
      <w:sz w:val="32"/>
    </w:rPr>
  </w:style>
  <w:style w:type="paragraph" w:customStyle="1" w:styleId="IsiBabforKomputek">
    <w:name w:val="Isi Bab for Komputek"/>
    <w:basedOn w:val="Normal"/>
    <w:rsid w:val="004710EE"/>
    <w:pPr>
      <w:ind w:firstLine="720"/>
      <w:jc w:val="both"/>
    </w:pPr>
  </w:style>
  <w:style w:type="paragraph" w:customStyle="1" w:styleId="tole">
    <w:name w:val="tole"/>
    <w:basedOn w:val="Normal"/>
    <w:rsid w:val="00E91546"/>
    <w:pPr>
      <w:jc w:val="center"/>
      <w:outlineLvl w:val="0"/>
    </w:pPr>
    <w:rPr>
      <w:b/>
      <w:bCs/>
      <w:sz w:val="28"/>
      <w:szCs w:val="28"/>
    </w:rPr>
  </w:style>
  <w:style w:type="paragraph" w:customStyle="1" w:styleId="tolesBold">
    <w:name w:val="toles + Bold"/>
    <w:aliases w:val="Line spacing:  single"/>
    <w:basedOn w:val="Normal"/>
    <w:rsid w:val="00E91546"/>
    <w:pPr>
      <w:jc w:val="center"/>
      <w:outlineLvl w:val="0"/>
    </w:pPr>
    <w:rPr>
      <w:i/>
      <w:iCs/>
      <w:sz w:val="24"/>
      <w:szCs w:val="24"/>
    </w:rPr>
  </w:style>
  <w:style w:type="paragraph" w:customStyle="1" w:styleId="toleLinespacingsingle">
    <w:name w:val="tole + Line spacing:  single"/>
    <w:basedOn w:val="Normal"/>
    <w:rsid w:val="00E91546"/>
    <w:pPr>
      <w:jc w:val="both"/>
    </w:pPr>
    <w:rPr>
      <w:sz w:val="24"/>
      <w:szCs w:val="24"/>
    </w:rPr>
  </w:style>
  <w:style w:type="paragraph" w:customStyle="1" w:styleId="bunga">
    <w:name w:val="bunga"/>
    <w:basedOn w:val="Normal"/>
    <w:rsid w:val="00E91546"/>
    <w:pPr>
      <w:jc w:val="both"/>
    </w:pPr>
    <w:rPr>
      <w:rFonts w:ascii="Arial" w:hAnsi="Arial" w:cs="Arial"/>
      <w:szCs w:val="24"/>
    </w:rPr>
  </w:style>
  <w:style w:type="paragraph" w:customStyle="1" w:styleId="bunga2">
    <w:name w:val="bunga2"/>
    <w:basedOn w:val="Normal"/>
    <w:rsid w:val="00E91546"/>
    <w:pPr>
      <w:jc w:val="both"/>
      <w:outlineLvl w:val="0"/>
    </w:pPr>
    <w:rPr>
      <w:rFonts w:ascii="Arial" w:hAnsi="Arial" w:cs="Arial"/>
      <w:b/>
      <w:bCs/>
      <w:szCs w:val="24"/>
    </w:rPr>
  </w:style>
  <w:style w:type="paragraph" w:customStyle="1" w:styleId="DiQi">
    <w:name w:val="DiQi"/>
    <w:basedOn w:val="Normal"/>
    <w:rsid w:val="00DA0390"/>
    <w:pPr>
      <w:spacing w:line="360" w:lineRule="auto"/>
      <w:jc w:val="both"/>
    </w:pPr>
    <w:rPr>
      <w:sz w:val="24"/>
      <w:szCs w:val="24"/>
    </w:rPr>
  </w:style>
  <w:style w:type="paragraph" w:customStyle="1" w:styleId="tole3">
    <w:name w:val="tole3"/>
    <w:basedOn w:val="DiQi"/>
    <w:rsid w:val="00DA0390"/>
    <w:pPr>
      <w:spacing w:line="240" w:lineRule="auto"/>
      <w:outlineLvl w:val="0"/>
    </w:pPr>
    <w:rPr>
      <w:rFonts w:ascii="Arial" w:hAnsi="Arial" w:cs="Arial"/>
      <w:b/>
      <w:bCs/>
      <w:sz w:val="20"/>
    </w:rPr>
  </w:style>
  <w:style w:type="paragraph" w:customStyle="1" w:styleId="yange">
    <w:name w:val="yange"/>
    <w:basedOn w:val="DiQi"/>
    <w:rsid w:val="00DA0390"/>
    <w:pPr>
      <w:spacing w:line="240" w:lineRule="auto"/>
      <w:ind w:left="360"/>
    </w:pPr>
    <w:rPr>
      <w:rFonts w:ascii="Arial" w:hAnsi="Arial" w:cs="Arial"/>
      <w:sz w:val="20"/>
    </w:rPr>
  </w:style>
  <w:style w:type="paragraph" w:customStyle="1" w:styleId="yange2">
    <w:name w:val="yange2"/>
    <w:basedOn w:val="DiQi"/>
    <w:rsid w:val="00DA0390"/>
    <w:pPr>
      <w:numPr>
        <w:numId w:val="1"/>
      </w:numPr>
      <w:spacing w:line="240" w:lineRule="auto"/>
    </w:pPr>
    <w:rPr>
      <w:rFonts w:ascii="Arial" w:hAnsi="Arial" w:cs="Arial"/>
      <w:sz w:val="20"/>
    </w:rPr>
  </w:style>
  <w:style w:type="paragraph" w:customStyle="1" w:styleId="JossTole">
    <w:name w:val="JossTole"/>
    <w:basedOn w:val="DiQi"/>
    <w:rsid w:val="00DA0390"/>
    <w:pPr>
      <w:spacing w:line="240" w:lineRule="auto"/>
      <w:ind w:firstLine="709"/>
    </w:pPr>
    <w:rPr>
      <w:rFonts w:ascii="Arial" w:hAnsi="Arial" w:cs="Arial"/>
      <w:sz w:val="20"/>
    </w:rPr>
  </w:style>
  <w:style w:type="paragraph" w:styleId="List">
    <w:name w:val="List"/>
    <w:basedOn w:val="Normal"/>
    <w:rsid w:val="00DA0390"/>
    <w:pPr>
      <w:ind w:left="360" w:hanging="360"/>
      <w:jc w:val="center"/>
    </w:pPr>
    <w:rPr>
      <w:sz w:val="24"/>
      <w:szCs w:val="24"/>
    </w:rPr>
  </w:style>
  <w:style w:type="paragraph" w:styleId="BodyTextIndent3">
    <w:name w:val="Body Text Indent 3"/>
    <w:basedOn w:val="Normal"/>
    <w:rsid w:val="00DB3D8C"/>
    <w:pPr>
      <w:spacing w:after="120"/>
      <w:ind w:left="360"/>
    </w:pPr>
    <w:rPr>
      <w:sz w:val="16"/>
      <w:szCs w:val="16"/>
    </w:rPr>
  </w:style>
  <w:style w:type="paragraph" w:customStyle="1" w:styleId="Body0">
    <w:name w:val="Body 0"/>
    <w:basedOn w:val="Normal"/>
    <w:rsid w:val="00DB3D8C"/>
    <w:pPr>
      <w:spacing w:line="360" w:lineRule="atLeast"/>
      <w:jc w:val="both"/>
    </w:pPr>
    <w:rPr>
      <w:rFonts w:ascii="Palatino" w:hAnsi="Palatino"/>
      <w:sz w:val="24"/>
      <w:szCs w:val="24"/>
    </w:rPr>
  </w:style>
  <w:style w:type="paragraph" w:styleId="BodyText2">
    <w:name w:val="Body Text 2"/>
    <w:basedOn w:val="Normal"/>
    <w:rsid w:val="005E736A"/>
    <w:pPr>
      <w:spacing w:after="120" w:line="480" w:lineRule="auto"/>
    </w:pPr>
  </w:style>
  <w:style w:type="paragraph" w:styleId="Title">
    <w:name w:val="Title"/>
    <w:basedOn w:val="Normal"/>
    <w:qFormat/>
    <w:rsid w:val="00F866B0"/>
    <w:pPr>
      <w:jc w:val="center"/>
    </w:pPr>
    <w:rPr>
      <w:b/>
      <w:bCs/>
      <w:sz w:val="28"/>
      <w:szCs w:val="24"/>
      <w:lang w:val="id-ID"/>
    </w:rPr>
  </w:style>
  <w:style w:type="paragraph" w:customStyle="1" w:styleId="AutoBiography">
    <w:name w:val="AutoBiography"/>
    <w:basedOn w:val="Normal"/>
    <w:rsid w:val="004E154B"/>
    <w:pPr>
      <w:jc w:val="both"/>
    </w:pPr>
    <w:rPr>
      <w:rFonts w:eastAsia="MS Mincho" w:cs="Angsana New"/>
      <w:sz w:val="18"/>
      <w:szCs w:val="18"/>
      <w:lang w:bidi="th-TH"/>
    </w:rPr>
  </w:style>
  <w:style w:type="paragraph" w:customStyle="1" w:styleId="Default">
    <w:name w:val="Default"/>
    <w:rsid w:val="004E154B"/>
    <w:pPr>
      <w:widowControl w:val="0"/>
      <w:autoSpaceDE w:val="0"/>
      <w:autoSpaceDN w:val="0"/>
      <w:adjustRightInd w:val="0"/>
    </w:pPr>
    <w:rPr>
      <w:rFonts w:cs="Angsana New"/>
      <w:color w:val="000000"/>
      <w:sz w:val="24"/>
      <w:szCs w:val="24"/>
    </w:rPr>
  </w:style>
  <w:style w:type="paragraph" w:customStyle="1" w:styleId="SectionTitle">
    <w:name w:val="Section Title"/>
    <w:basedOn w:val="Normal"/>
    <w:autoRedefine/>
    <w:rsid w:val="00771A7C"/>
    <w:pPr>
      <w:snapToGrid w:val="0"/>
      <w:jc w:val="both"/>
    </w:pPr>
    <w:rPr>
      <w:rFonts w:eastAsia="MS Mincho" w:cs="Angsana New"/>
      <w:lang w:val="en-GB" w:bidi="th-TH"/>
    </w:rPr>
  </w:style>
  <w:style w:type="paragraph" w:customStyle="1" w:styleId="Style10ptJustified">
    <w:name w:val="Style 10 pt Justified"/>
    <w:basedOn w:val="Normal"/>
    <w:link w:val="Style10ptJustifiedChar"/>
    <w:autoRedefine/>
    <w:rsid w:val="00353885"/>
    <w:pPr>
      <w:snapToGrid w:val="0"/>
      <w:ind w:firstLine="720"/>
      <w:jc w:val="both"/>
    </w:pPr>
    <w:rPr>
      <w:rFonts w:ascii="Arial" w:eastAsia="MS Mincho" w:hAnsi="Arial" w:cs="Arial"/>
      <w:iCs/>
      <w:lang w:val="en-GB"/>
    </w:rPr>
  </w:style>
  <w:style w:type="character" w:customStyle="1" w:styleId="Style10ptJustifiedChar">
    <w:name w:val="Style 10 pt Justified Char"/>
    <w:basedOn w:val="DefaultParagraphFont"/>
    <w:link w:val="Style10ptJustified"/>
    <w:rsid w:val="00353885"/>
    <w:rPr>
      <w:rFonts w:ascii="Arial" w:eastAsia="MS Mincho" w:hAnsi="Arial" w:cs="Arial"/>
      <w:iCs/>
      <w:lang w:val="en-GB" w:eastAsia="en-US" w:bidi="ar-SA"/>
    </w:rPr>
  </w:style>
  <w:style w:type="paragraph" w:customStyle="1" w:styleId="paperbody">
    <w:name w:val="paper body"/>
    <w:basedOn w:val="Normal"/>
    <w:rsid w:val="00097958"/>
    <w:pPr>
      <w:jc w:val="both"/>
    </w:pPr>
    <w:rPr>
      <w:sz w:val="24"/>
      <w:szCs w:val="24"/>
      <w:lang w:val="en-AU"/>
    </w:rPr>
  </w:style>
  <w:style w:type="paragraph" w:styleId="PlainText">
    <w:name w:val="Plain Text"/>
    <w:basedOn w:val="Normal"/>
    <w:semiHidden/>
    <w:rsid w:val="00097958"/>
    <w:rPr>
      <w:rFonts w:ascii="Courier New" w:eastAsia="BatangChe" w:hAnsi="Courier New"/>
      <w:sz w:val="24"/>
      <w:szCs w:val="24"/>
    </w:rPr>
  </w:style>
  <w:style w:type="character" w:customStyle="1" w:styleId="CharChar">
    <w:name w:val="Char Char"/>
    <w:basedOn w:val="DefaultParagraphFont"/>
    <w:rsid w:val="00097958"/>
    <w:rPr>
      <w:rFonts w:ascii="Courier New" w:eastAsia="BatangChe" w:hAnsi="Courier New"/>
      <w:sz w:val="24"/>
      <w:szCs w:val="24"/>
      <w:lang w:val="en-US" w:eastAsia="en-US"/>
    </w:rPr>
  </w:style>
  <w:style w:type="paragraph" w:styleId="Subtitle">
    <w:name w:val="Subtitle"/>
    <w:basedOn w:val="Normal"/>
    <w:qFormat/>
    <w:rsid w:val="00097958"/>
    <w:pPr>
      <w:jc w:val="center"/>
    </w:pPr>
    <w:rPr>
      <w:b/>
      <w:bCs/>
      <w:sz w:val="32"/>
      <w:szCs w:val="32"/>
      <w:lang w:val="en-GB"/>
    </w:rPr>
  </w:style>
  <w:style w:type="paragraph" w:customStyle="1" w:styleId="Body">
    <w:name w:val="Body"/>
    <w:basedOn w:val="Normal"/>
    <w:rsid w:val="00097958"/>
    <w:pPr>
      <w:widowControl w:val="0"/>
      <w:autoSpaceDE w:val="0"/>
      <w:autoSpaceDN w:val="0"/>
      <w:adjustRightInd w:val="0"/>
      <w:ind w:firstLine="340"/>
      <w:jc w:val="both"/>
      <w:textAlignment w:val="baseline"/>
    </w:pPr>
    <w:rPr>
      <w:rFonts w:eastAsia="BatangChe"/>
      <w:lang w:eastAsia="ko-KR"/>
    </w:rPr>
  </w:style>
  <w:style w:type="paragraph" w:customStyle="1" w:styleId="Reference">
    <w:name w:val="Reference"/>
    <w:basedOn w:val="Normal"/>
    <w:rsid w:val="00097958"/>
    <w:pPr>
      <w:widowControl w:val="0"/>
      <w:autoSpaceDE w:val="0"/>
      <w:autoSpaceDN w:val="0"/>
      <w:adjustRightInd w:val="0"/>
      <w:spacing w:before="60" w:after="60"/>
      <w:ind w:left="288" w:hanging="288"/>
      <w:jc w:val="both"/>
      <w:textAlignment w:val="baseline"/>
    </w:pPr>
    <w:rPr>
      <w:rFonts w:eastAsia="BatangChe"/>
      <w:lang w:eastAsia="ko-KR"/>
    </w:rPr>
  </w:style>
  <w:style w:type="paragraph" w:customStyle="1" w:styleId="Demenko">
    <w:name w:val="Demenko"/>
    <w:basedOn w:val="Normal"/>
    <w:rsid w:val="00097958"/>
    <w:pPr>
      <w:widowControl w:val="0"/>
      <w:tabs>
        <w:tab w:val="left" w:pos="567"/>
        <w:tab w:val="center" w:pos="4820"/>
        <w:tab w:val="right" w:pos="9639"/>
      </w:tabs>
      <w:spacing w:after="113" w:line="360" w:lineRule="auto"/>
      <w:jc w:val="both"/>
    </w:pPr>
    <w:rPr>
      <w:sz w:val="22"/>
      <w:szCs w:val="22"/>
      <w:lang w:val="en-GB" w:eastAsia="pl-PL"/>
    </w:rPr>
  </w:style>
  <w:style w:type="paragraph" w:customStyle="1" w:styleId="Text">
    <w:name w:val="Text"/>
    <w:basedOn w:val="Normal"/>
    <w:rsid w:val="00097958"/>
    <w:pPr>
      <w:widowControl w:val="0"/>
      <w:autoSpaceDE w:val="0"/>
      <w:autoSpaceDN w:val="0"/>
      <w:spacing w:line="252" w:lineRule="auto"/>
      <w:ind w:firstLine="202"/>
      <w:jc w:val="both"/>
    </w:pPr>
    <w:rPr>
      <w:rFonts w:eastAsia="Batang"/>
      <w:lang w:eastAsia="ko-KR"/>
    </w:rPr>
  </w:style>
  <w:style w:type="paragraph" w:customStyle="1" w:styleId="Equation">
    <w:name w:val="Equation"/>
    <w:basedOn w:val="Normal"/>
    <w:next w:val="Normal"/>
    <w:rsid w:val="00097958"/>
    <w:pPr>
      <w:widowControl w:val="0"/>
      <w:tabs>
        <w:tab w:val="right" w:pos="5040"/>
      </w:tabs>
      <w:autoSpaceDE w:val="0"/>
      <w:autoSpaceDN w:val="0"/>
      <w:spacing w:line="252" w:lineRule="auto"/>
      <w:jc w:val="both"/>
    </w:pPr>
    <w:rPr>
      <w:rFonts w:eastAsia="Batang"/>
      <w:lang w:eastAsia="ko-KR"/>
    </w:rPr>
  </w:style>
  <w:style w:type="paragraph" w:customStyle="1" w:styleId="TableTitle">
    <w:name w:val="Table Title"/>
    <w:basedOn w:val="Normal"/>
    <w:rsid w:val="00097958"/>
    <w:pPr>
      <w:jc w:val="center"/>
    </w:pPr>
    <w:rPr>
      <w:smallCaps/>
      <w:sz w:val="16"/>
      <w:szCs w:val="16"/>
    </w:rPr>
  </w:style>
  <w:style w:type="paragraph" w:customStyle="1" w:styleId="Sub-titles">
    <w:name w:val="Sub-titles"/>
    <w:basedOn w:val="Normal"/>
    <w:rsid w:val="00097958"/>
    <w:pPr>
      <w:jc w:val="both"/>
    </w:pPr>
    <w:rPr>
      <w:b/>
      <w:bCs/>
      <w:color w:val="000000"/>
      <w:sz w:val="24"/>
      <w:szCs w:val="24"/>
      <w:lang w:val="pt-PT" w:eastAsia="pt-PT"/>
    </w:rPr>
  </w:style>
  <w:style w:type="paragraph" w:customStyle="1" w:styleId="text0">
    <w:name w:val="text"/>
    <w:basedOn w:val="Normal"/>
    <w:rsid w:val="00097958"/>
    <w:pPr>
      <w:ind w:firstLine="227"/>
      <w:jc w:val="both"/>
    </w:pPr>
  </w:style>
  <w:style w:type="paragraph" w:customStyle="1" w:styleId="tables">
    <w:name w:val="tables"/>
    <w:basedOn w:val="Normal"/>
    <w:rsid w:val="00097958"/>
    <w:pPr>
      <w:jc w:val="both"/>
    </w:pPr>
    <w:rPr>
      <w:sz w:val="18"/>
      <w:szCs w:val="18"/>
    </w:rPr>
  </w:style>
  <w:style w:type="character" w:styleId="Strong">
    <w:name w:val="Strong"/>
    <w:basedOn w:val="DefaultParagraphFont"/>
    <w:qFormat/>
    <w:rsid w:val="00335BE8"/>
    <w:rPr>
      <w:rFonts w:cs="Times New Roman"/>
      <w:b/>
      <w:bCs/>
    </w:rPr>
  </w:style>
  <w:style w:type="paragraph" w:styleId="NormalWeb">
    <w:name w:val="Normal (Web)"/>
    <w:basedOn w:val="Normal"/>
    <w:rsid w:val="00232DA1"/>
    <w:pPr>
      <w:spacing w:before="100" w:beforeAutospacing="1" w:after="100" w:afterAutospacing="1"/>
    </w:pPr>
    <w:rPr>
      <w:sz w:val="24"/>
      <w:szCs w:val="24"/>
    </w:rPr>
  </w:style>
  <w:style w:type="character" w:styleId="Emphasis">
    <w:name w:val="Emphasis"/>
    <w:basedOn w:val="DefaultParagraphFont"/>
    <w:uiPriority w:val="20"/>
    <w:qFormat/>
    <w:rsid w:val="00232DA1"/>
    <w:rPr>
      <w:i/>
      <w:iCs/>
    </w:rPr>
  </w:style>
  <w:style w:type="paragraph" w:customStyle="1" w:styleId="Abstract">
    <w:name w:val="Abstract"/>
    <w:rsid w:val="007017C6"/>
    <w:pPr>
      <w:spacing w:after="200"/>
      <w:jc w:val="both"/>
    </w:pPr>
    <w:rPr>
      <w:rFonts w:eastAsia="SimSun"/>
      <w:b/>
      <w:sz w:val="18"/>
    </w:rPr>
  </w:style>
  <w:style w:type="paragraph" w:customStyle="1" w:styleId="Affiliation">
    <w:name w:val="Affiliation"/>
    <w:rsid w:val="007017C6"/>
    <w:pPr>
      <w:jc w:val="center"/>
    </w:pPr>
    <w:rPr>
      <w:rFonts w:eastAsia="SimSun"/>
    </w:rPr>
  </w:style>
  <w:style w:type="paragraph" w:customStyle="1" w:styleId="equation0">
    <w:name w:val="equation"/>
    <w:basedOn w:val="Normal"/>
    <w:rsid w:val="007017C6"/>
    <w:pPr>
      <w:tabs>
        <w:tab w:val="center" w:pos="2520"/>
        <w:tab w:val="right" w:pos="5040"/>
      </w:tabs>
      <w:spacing w:before="240" w:after="240" w:line="216" w:lineRule="auto"/>
      <w:jc w:val="center"/>
    </w:pPr>
    <w:rPr>
      <w:rFonts w:eastAsia="SimSun"/>
    </w:rPr>
  </w:style>
  <w:style w:type="paragraph" w:customStyle="1" w:styleId="figurecaption">
    <w:name w:val="figure caption"/>
    <w:rsid w:val="007017C6"/>
    <w:pPr>
      <w:spacing w:before="80" w:after="200"/>
      <w:jc w:val="center"/>
    </w:pPr>
    <w:rPr>
      <w:rFonts w:eastAsia="SimSun"/>
      <w:sz w:val="16"/>
    </w:rPr>
  </w:style>
  <w:style w:type="paragraph" w:customStyle="1" w:styleId="papertitle">
    <w:name w:val="paper title"/>
    <w:rsid w:val="007017C6"/>
    <w:pPr>
      <w:spacing w:after="120"/>
      <w:jc w:val="center"/>
    </w:pPr>
    <w:rPr>
      <w:rFonts w:eastAsia="SimSun"/>
      <w:sz w:val="48"/>
    </w:rPr>
  </w:style>
  <w:style w:type="paragraph" w:customStyle="1" w:styleId="references">
    <w:name w:val="references"/>
    <w:rsid w:val="007017C6"/>
    <w:pPr>
      <w:numPr>
        <w:numId w:val="2"/>
      </w:numPr>
      <w:spacing w:after="40" w:line="180" w:lineRule="exact"/>
      <w:jc w:val="both"/>
    </w:pPr>
    <w:rPr>
      <w:rFonts w:eastAsia="SimSun"/>
      <w:sz w:val="16"/>
    </w:rPr>
  </w:style>
  <w:style w:type="paragraph" w:customStyle="1" w:styleId="tablecolsubhead">
    <w:name w:val="table col subhead"/>
    <w:basedOn w:val="Normal"/>
    <w:rsid w:val="007017C6"/>
    <w:pPr>
      <w:jc w:val="center"/>
    </w:pPr>
    <w:rPr>
      <w:rFonts w:eastAsia="SimSun"/>
      <w:b/>
      <w:i/>
      <w:sz w:val="15"/>
    </w:rPr>
  </w:style>
  <w:style w:type="paragraph" w:customStyle="1" w:styleId="tablecopy">
    <w:name w:val="table copy"/>
    <w:rsid w:val="007017C6"/>
    <w:pPr>
      <w:jc w:val="both"/>
    </w:pPr>
    <w:rPr>
      <w:rFonts w:eastAsia="SimSun"/>
      <w:sz w:val="16"/>
    </w:rPr>
  </w:style>
  <w:style w:type="paragraph" w:customStyle="1" w:styleId="tablehead">
    <w:name w:val="table head"/>
    <w:rsid w:val="007017C6"/>
    <w:pPr>
      <w:numPr>
        <w:numId w:val="3"/>
      </w:numPr>
      <w:spacing w:before="240" w:after="120" w:line="216" w:lineRule="auto"/>
      <w:jc w:val="center"/>
    </w:pPr>
    <w:rPr>
      <w:rFonts w:eastAsia="SimSun"/>
      <w:smallCaps/>
      <w:sz w:val="16"/>
    </w:rPr>
  </w:style>
  <w:style w:type="character" w:customStyle="1" w:styleId="shorttext">
    <w:name w:val="short_text"/>
    <w:basedOn w:val="DefaultParagraphFont"/>
    <w:rsid w:val="007017C6"/>
  </w:style>
  <w:style w:type="character" w:customStyle="1" w:styleId="longtext">
    <w:name w:val="long_text"/>
    <w:basedOn w:val="DefaultParagraphFont"/>
    <w:rsid w:val="004947B9"/>
  </w:style>
  <w:style w:type="character" w:customStyle="1" w:styleId="apple-style-span">
    <w:name w:val="apple-style-span"/>
    <w:basedOn w:val="DefaultParagraphFont"/>
    <w:rsid w:val="00C35B8F"/>
  </w:style>
  <w:style w:type="character" w:customStyle="1" w:styleId="apple-converted-space">
    <w:name w:val="apple-converted-space"/>
    <w:basedOn w:val="DefaultParagraphFont"/>
    <w:rsid w:val="00C35B8F"/>
  </w:style>
  <w:style w:type="paragraph" w:styleId="HTMLPreformatted">
    <w:name w:val="HTML Preformatted"/>
    <w:basedOn w:val="Normal"/>
    <w:rsid w:val="00C35B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paragraph" w:styleId="ListParagraph">
    <w:name w:val="List Paragraph"/>
    <w:basedOn w:val="Normal"/>
    <w:uiPriority w:val="34"/>
    <w:qFormat/>
    <w:rsid w:val="00C35B8F"/>
    <w:pPr>
      <w:spacing w:after="200" w:line="276" w:lineRule="auto"/>
      <w:ind w:left="720"/>
      <w:contextualSpacing/>
    </w:pPr>
    <w:rPr>
      <w:rFonts w:ascii="Calibri" w:hAnsi="Calibri"/>
      <w:sz w:val="22"/>
      <w:szCs w:val="22"/>
      <w:lang w:val="en-GB" w:eastAsia="en-GB"/>
    </w:rPr>
  </w:style>
  <w:style w:type="paragraph" w:styleId="NoSpacing">
    <w:name w:val="No Spacing"/>
    <w:qFormat/>
    <w:rsid w:val="00C35B8F"/>
    <w:rPr>
      <w:rFonts w:ascii="Calibri" w:eastAsia="Calibri" w:hAnsi="Calibri"/>
      <w:sz w:val="22"/>
      <w:szCs w:val="22"/>
    </w:rPr>
  </w:style>
  <w:style w:type="character" w:customStyle="1" w:styleId="hps">
    <w:name w:val="hps"/>
    <w:basedOn w:val="DefaultParagraphFont"/>
    <w:rsid w:val="008F05B8"/>
  </w:style>
  <w:style w:type="character" w:customStyle="1" w:styleId="st">
    <w:name w:val="st"/>
    <w:basedOn w:val="DefaultParagraphFont"/>
    <w:rsid w:val="00956EB6"/>
  </w:style>
  <w:style w:type="character" w:customStyle="1" w:styleId="fontstyle01">
    <w:name w:val="fontstyle01"/>
    <w:basedOn w:val="DefaultParagraphFont"/>
    <w:rsid w:val="00F15BF4"/>
    <w:rPr>
      <w:rFonts w:ascii="NimbusRomNo9L-Medi" w:hAnsi="NimbusRomNo9L-Medi" w:hint="default"/>
      <w:b/>
      <w:bCs/>
      <w:i w:val="0"/>
      <w:iCs w:val="0"/>
      <w:color w:val="000000"/>
      <w:sz w:val="20"/>
      <w:szCs w:val="20"/>
    </w:rPr>
  </w:style>
  <w:style w:type="character" w:customStyle="1" w:styleId="fontstyle21">
    <w:name w:val="fontstyle21"/>
    <w:basedOn w:val="DefaultParagraphFont"/>
    <w:rsid w:val="00F15BF4"/>
    <w:rPr>
      <w:rFonts w:ascii="NimbusRomNo9L-Regu" w:hAnsi="NimbusRomNo9L-Regu" w:hint="default"/>
      <w:b w:val="0"/>
      <w:bCs w:val="0"/>
      <w:i w:val="0"/>
      <w:iCs w:val="0"/>
      <w:color w:val="000000"/>
      <w:sz w:val="20"/>
      <w:szCs w:val="20"/>
    </w:rPr>
  </w:style>
  <w:style w:type="character" w:customStyle="1" w:styleId="UnresolvedMention1">
    <w:name w:val="Unresolved Mention1"/>
    <w:basedOn w:val="DefaultParagraphFont"/>
    <w:uiPriority w:val="99"/>
    <w:semiHidden/>
    <w:unhideWhenUsed/>
    <w:rsid w:val="00E619D6"/>
    <w:rPr>
      <w:color w:val="605E5C"/>
      <w:shd w:val="clear" w:color="auto" w:fill="E1DFDD"/>
    </w:rPr>
  </w:style>
  <w:style w:type="character" w:customStyle="1" w:styleId="highlight">
    <w:name w:val="highlight"/>
    <w:basedOn w:val="DefaultParagraphFont"/>
    <w:rsid w:val="00BE2F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331985">
      <w:bodyDiv w:val="1"/>
      <w:marLeft w:val="0"/>
      <w:marRight w:val="0"/>
      <w:marTop w:val="0"/>
      <w:marBottom w:val="0"/>
      <w:divBdr>
        <w:top w:val="none" w:sz="0" w:space="0" w:color="auto"/>
        <w:left w:val="none" w:sz="0" w:space="0" w:color="auto"/>
        <w:bottom w:val="none" w:sz="0" w:space="0" w:color="auto"/>
        <w:right w:val="none" w:sz="0" w:space="0" w:color="auto"/>
      </w:divBdr>
    </w:div>
    <w:div w:id="217479313">
      <w:bodyDiv w:val="1"/>
      <w:marLeft w:val="0"/>
      <w:marRight w:val="0"/>
      <w:marTop w:val="0"/>
      <w:marBottom w:val="0"/>
      <w:divBdr>
        <w:top w:val="none" w:sz="0" w:space="0" w:color="auto"/>
        <w:left w:val="none" w:sz="0" w:space="0" w:color="auto"/>
        <w:bottom w:val="none" w:sz="0" w:space="0" w:color="auto"/>
        <w:right w:val="none" w:sz="0" w:space="0" w:color="auto"/>
      </w:divBdr>
    </w:div>
    <w:div w:id="537087593">
      <w:bodyDiv w:val="1"/>
      <w:marLeft w:val="0"/>
      <w:marRight w:val="0"/>
      <w:marTop w:val="0"/>
      <w:marBottom w:val="0"/>
      <w:divBdr>
        <w:top w:val="none" w:sz="0" w:space="0" w:color="auto"/>
        <w:left w:val="none" w:sz="0" w:space="0" w:color="auto"/>
        <w:bottom w:val="none" w:sz="0" w:space="0" w:color="auto"/>
        <w:right w:val="none" w:sz="0" w:space="0" w:color="auto"/>
      </w:divBdr>
    </w:div>
    <w:div w:id="609169804">
      <w:bodyDiv w:val="1"/>
      <w:marLeft w:val="0"/>
      <w:marRight w:val="0"/>
      <w:marTop w:val="0"/>
      <w:marBottom w:val="0"/>
      <w:divBdr>
        <w:top w:val="none" w:sz="0" w:space="0" w:color="auto"/>
        <w:left w:val="none" w:sz="0" w:space="0" w:color="auto"/>
        <w:bottom w:val="none" w:sz="0" w:space="0" w:color="auto"/>
        <w:right w:val="none" w:sz="0" w:space="0" w:color="auto"/>
      </w:divBdr>
    </w:div>
    <w:div w:id="763496701">
      <w:bodyDiv w:val="1"/>
      <w:marLeft w:val="0"/>
      <w:marRight w:val="0"/>
      <w:marTop w:val="0"/>
      <w:marBottom w:val="0"/>
      <w:divBdr>
        <w:top w:val="none" w:sz="0" w:space="0" w:color="auto"/>
        <w:left w:val="none" w:sz="0" w:space="0" w:color="auto"/>
        <w:bottom w:val="none" w:sz="0" w:space="0" w:color="auto"/>
        <w:right w:val="none" w:sz="0" w:space="0" w:color="auto"/>
      </w:divBdr>
      <w:divsChild>
        <w:div w:id="118694276">
          <w:marLeft w:val="0"/>
          <w:marRight w:val="0"/>
          <w:marTop w:val="0"/>
          <w:marBottom w:val="0"/>
          <w:divBdr>
            <w:top w:val="none" w:sz="0" w:space="0" w:color="auto"/>
            <w:left w:val="none" w:sz="0" w:space="0" w:color="auto"/>
            <w:bottom w:val="none" w:sz="0" w:space="0" w:color="auto"/>
            <w:right w:val="none" w:sz="0" w:space="0" w:color="auto"/>
          </w:divBdr>
        </w:div>
        <w:div w:id="256254326">
          <w:marLeft w:val="0"/>
          <w:marRight w:val="0"/>
          <w:marTop w:val="0"/>
          <w:marBottom w:val="0"/>
          <w:divBdr>
            <w:top w:val="none" w:sz="0" w:space="0" w:color="auto"/>
            <w:left w:val="none" w:sz="0" w:space="0" w:color="auto"/>
            <w:bottom w:val="none" w:sz="0" w:space="0" w:color="auto"/>
            <w:right w:val="none" w:sz="0" w:space="0" w:color="auto"/>
          </w:divBdr>
        </w:div>
        <w:div w:id="346564321">
          <w:marLeft w:val="0"/>
          <w:marRight w:val="0"/>
          <w:marTop w:val="0"/>
          <w:marBottom w:val="0"/>
          <w:divBdr>
            <w:top w:val="none" w:sz="0" w:space="0" w:color="auto"/>
            <w:left w:val="none" w:sz="0" w:space="0" w:color="auto"/>
            <w:bottom w:val="none" w:sz="0" w:space="0" w:color="auto"/>
            <w:right w:val="none" w:sz="0" w:space="0" w:color="auto"/>
          </w:divBdr>
        </w:div>
        <w:div w:id="455486461">
          <w:marLeft w:val="0"/>
          <w:marRight w:val="0"/>
          <w:marTop w:val="0"/>
          <w:marBottom w:val="0"/>
          <w:divBdr>
            <w:top w:val="none" w:sz="0" w:space="0" w:color="auto"/>
            <w:left w:val="none" w:sz="0" w:space="0" w:color="auto"/>
            <w:bottom w:val="none" w:sz="0" w:space="0" w:color="auto"/>
            <w:right w:val="none" w:sz="0" w:space="0" w:color="auto"/>
          </w:divBdr>
        </w:div>
        <w:div w:id="523252884">
          <w:marLeft w:val="0"/>
          <w:marRight w:val="0"/>
          <w:marTop w:val="0"/>
          <w:marBottom w:val="0"/>
          <w:divBdr>
            <w:top w:val="none" w:sz="0" w:space="0" w:color="auto"/>
            <w:left w:val="none" w:sz="0" w:space="0" w:color="auto"/>
            <w:bottom w:val="none" w:sz="0" w:space="0" w:color="auto"/>
            <w:right w:val="none" w:sz="0" w:space="0" w:color="auto"/>
          </w:divBdr>
        </w:div>
        <w:div w:id="538665440">
          <w:marLeft w:val="0"/>
          <w:marRight w:val="0"/>
          <w:marTop w:val="0"/>
          <w:marBottom w:val="0"/>
          <w:divBdr>
            <w:top w:val="none" w:sz="0" w:space="0" w:color="auto"/>
            <w:left w:val="none" w:sz="0" w:space="0" w:color="auto"/>
            <w:bottom w:val="none" w:sz="0" w:space="0" w:color="auto"/>
            <w:right w:val="none" w:sz="0" w:space="0" w:color="auto"/>
          </w:divBdr>
        </w:div>
        <w:div w:id="594559341">
          <w:marLeft w:val="0"/>
          <w:marRight w:val="0"/>
          <w:marTop w:val="0"/>
          <w:marBottom w:val="0"/>
          <w:divBdr>
            <w:top w:val="none" w:sz="0" w:space="0" w:color="auto"/>
            <w:left w:val="none" w:sz="0" w:space="0" w:color="auto"/>
            <w:bottom w:val="none" w:sz="0" w:space="0" w:color="auto"/>
            <w:right w:val="none" w:sz="0" w:space="0" w:color="auto"/>
          </w:divBdr>
        </w:div>
        <w:div w:id="693918084">
          <w:marLeft w:val="0"/>
          <w:marRight w:val="0"/>
          <w:marTop w:val="0"/>
          <w:marBottom w:val="0"/>
          <w:divBdr>
            <w:top w:val="none" w:sz="0" w:space="0" w:color="auto"/>
            <w:left w:val="none" w:sz="0" w:space="0" w:color="auto"/>
            <w:bottom w:val="none" w:sz="0" w:space="0" w:color="auto"/>
            <w:right w:val="none" w:sz="0" w:space="0" w:color="auto"/>
          </w:divBdr>
        </w:div>
        <w:div w:id="708602324">
          <w:marLeft w:val="0"/>
          <w:marRight w:val="0"/>
          <w:marTop w:val="0"/>
          <w:marBottom w:val="0"/>
          <w:divBdr>
            <w:top w:val="none" w:sz="0" w:space="0" w:color="auto"/>
            <w:left w:val="none" w:sz="0" w:space="0" w:color="auto"/>
            <w:bottom w:val="none" w:sz="0" w:space="0" w:color="auto"/>
            <w:right w:val="none" w:sz="0" w:space="0" w:color="auto"/>
          </w:divBdr>
        </w:div>
        <w:div w:id="750348527">
          <w:marLeft w:val="0"/>
          <w:marRight w:val="0"/>
          <w:marTop w:val="0"/>
          <w:marBottom w:val="0"/>
          <w:divBdr>
            <w:top w:val="none" w:sz="0" w:space="0" w:color="auto"/>
            <w:left w:val="none" w:sz="0" w:space="0" w:color="auto"/>
            <w:bottom w:val="none" w:sz="0" w:space="0" w:color="auto"/>
            <w:right w:val="none" w:sz="0" w:space="0" w:color="auto"/>
          </w:divBdr>
        </w:div>
        <w:div w:id="769356739">
          <w:marLeft w:val="0"/>
          <w:marRight w:val="0"/>
          <w:marTop w:val="0"/>
          <w:marBottom w:val="0"/>
          <w:divBdr>
            <w:top w:val="none" w:sz="0" w:space="0" w:color="auto"/>
            <w:left w:val="none" w:sz="0" w:space="0" w:color="auto"/>
            <w:bottom w:val="none" w:sz="0" w:space="0" w:color="auto"/>
            <w:right w:val="none" w:sz="0" w:space="0" w:color="auto"/>
          </w:divBdr>
        </w:div>
        <w:div w:id="873153532">
          <w:marLeft w:val="0"/>
          <w:marRight w:val="0"/>
          <w:marTop w:val="0"/>
          <w:marBottom w:val="0"/>
          <w:divBdr>
            <w:top w:val="none" w:sz="0" w:space="0" w:color="auto"/>
            <w:left w:val="none" w:sz="0" w:space="0" w:color="auto"/>
            <w:bottom w:val="none" w:sz="0" w:space="0" w:color="auto"/>
            <w:right w:val="none" w:sz="0" w:space="0" w:color="auto"/>
          </w:divBdr>
        </w:div>
        <w:div w:id="903374312">
          <w:marLeft w:val="0"/>
          <w:marRight w:val="0"/>
          <w:marTop w:val="0"/>
          <w:marBottom w:val="0"/>
          <w:divBdr>
            <w:top w:val="none" w:sz="0" w:space="0" w:color="auto"/>
            <w:left w:val="none" w:sz="0" w:space="0" w:color="auto"/>
            <w:bottom w:val="none" w:sz="0" w:space="0" w:color="auto"/>
            <w:right w:val="none" w:sz="0" w:space="0" w:color="auto"/>
          </w:divBdr>
        </w:div>
        <w:div w:id="907494285">
          <w:marLeft w:val="0"/>
          <w:marRight w:val="0"/>
          <w:marTop w:val="0"/>
          <w:marBottom w:val="0"/>
          <w:divBdr>
            <w:top w:val="none" w:sz="0" w:space="0" w:color="auto"/>
            <w:left w:val="none" w:sz="0" w:space="0" w:color="auto"/>
            <w:bottom w:val="none" w:sz="0" w:space="0" w:color="auto"/>
            <w:right w:val="none" w:sz="0" w:space="0" w:color="auto"/>
          </w:divBdr>
        </w:div>
        <w:div w:id="1079325375">
          <w:marLeft w:val="0"/>
          <w:marRight w:val="0"/>
          <w:marTop w:val="0"/>
          <w:marBottom w:val="0"/>
          <w:divBdr>
            <w:top w:val="none" w:sz="0" w:space="0" w:color="auto"/>
            <w:left w:val="none" w:sz="0" w:space="0" w:color="auto"/>
            <w:bottom w:val="none" w:sz="0" w:space="0" w:color="auto"/>
            <w:right w:val="none" w:sz="0" w:space="0" w:color="auto"/>
          </w:divBdr>
        </w:div>
        <w:div w:id="1190215489">
          <w:marLeft w:val="0"/>
          <w:marRight w:val="0"/>
          <w:marTop w:val="0"/>
          <w:marBottom w:val="0"/>
          <w:divBdr>
            <w:top w:val="none" w:sz="0" w:space="0" w:color="auto"/>
            <w:left w:val="none" w:sz="0" w:space="0" w:color="auto"/>
            <w:bottom w:val="none" w:sz="0" w:space="0" w:color="auto"/>
            <w:right w:val="none" w:sz="0" w:space="0" w:color="auto"/>
          </w:divBdr>
        </w:div>
        <w:div w:id="1261765791">
          <w:marLeft w:val="0"/>
          <w:marRight w:val="0"/>
          <w:marTop w:val="0"/>
          <w:marBottom w:val="0"/>
          <w:divBdr>
            <w:top w:val="none" w:sz="0" w:space="0" w:color="auto"/>
            <w:left w:val="none" w:sz="0" w:space="0" w:color="auto"/>
            <w:bottom w:val="none" w:sz="0" w:space="0" w:color="auto"/>
            <w:right w:val="none" w:sz="0" w:space="0" w:color="auto"/>
          </w:divBdr>
        </w:div>
        <w:div w:id="1276526174">
          <w:marLeft w:val="0"/>
          <w:marRight w:val="0"/>
          <w:marTop w:val="0"/>
          <w:marBottom w:val="0"/>
          <w:divBdr>
            <w:top w:val="none" w:sz="0" w:space="0" w:color="auto"/>
            <w:left w:val="none" w:sz="0" w:space="0" w:color="auto"/>
            <w:bottom w:val="none" w:sz="0" w:space="0" w:color="auto"/>
            <w:right w:val="none" w:sz="0" w:space="0" w:color="auto"/>
          </w:divBdr>
        </w:div>
        <w:div w:id="1470978014">
          <w:marLeft w:val="0"/>
          <w:marRight w:val="0"/>
          <w:marTop w:val="0"/>
          <w:marBottom w:val="0"/>
          <w:divBdr>
            <w:top w:val="none" w:sz="0" w:space="0" w:color="auto"/>
            <w:left w:val="none" w:sz="0" w:space="0" w:color="auto"/>
            <w:bottom w:val="none" w:sz="0" w:space="0" w:color="auto"/>
            <w:right w:val="none" w:sz="0" w:space="0" w:color="auto"/>
          </w:divBdr>
        </w:div>
        <w:div w:id="1473522269">
          <w:marLeft w:val="0"/>
          <w:marRight w:val="0"/>
          <w:marTop w:val="0"/>
          <w:marBottom w:val="0"/>
          <w:divBdr>
            <w:top w:val="none" w:sz="0" w:space="0" w:color="auto"/>
            <w:left w:val="none" w:sz="0" w:space="0" w:color="auto"/>
            <w:bottom w:val="none" w:sz="0" w:space="0" w:color="auto"/>
            <w:right w:val="none" w:sz="0" w:space="0" w:color="auto"/>
          </w:divBdr>
        </w:div>
        <w:div w:id="1507329936">
          <w:marLeft w:val="0"/>
          <w:marRight w:val="0"/>
          <w:marTop w:val="0"/>
          <w:marBottom w:val="0"/>
          <w:divBdr>
            <w:top w:val="none" w:sz="0" w:space="0" w:color="auto"/>
            <w:left w:val="none" w:sz="0" w:space="0" w:color="auto"/>
            <w:bottom w:val="none" w:sz="0" w:space="0" w:color="auto"/>
            <w:right w:val="none" w:sz="0" w:space="0" w:color="auto"/>
          </w:divBdr>
        </w:div>
        <w:div w:id="1886333278">
          <w:marLeft w:val="0"/>
          <w:marRight w:val="0"/>
          <w:marTop w:val="0"/>
          <w:marBottom w:val="0"/>
          <w:divBdr>
            <w:top w:val="none" w:sz="0" w:space="0" w:color="auto"/>
            <w:left w:val="none" w:sz="0" w:space="0" w:color="auto"/>
            <w:bottom w:val="none" w:sz="0" w:space="0" w:color="auto"/>
            <w:right w:val="none" w:sz="0" w:space="0" w:color="auto"/>
          </w:divBdr>
        </w:div>
        <w:div w:id="1889224657">
          <w:marLeft w:val="0"/>
          <w:marRight w:val="0"/>
          <w:marTop w:val="0"/>
          <w:marBottom w:val="0"/>
          <w:divBdr>
            <w:top w:val="none" w:sz="0" w:space="0" w:color="auto"/>
            <w:left w:val="none" w:sz="0" w:space="0" w:color="auto"/>
            <w:bottom w:val="none" w:sz="0" w:space="0" w:color="auto"/>
            <w:right w:val="none" w:sz="0" w:space="0" w:color="auto"/>
          </w:divBdr>
        </w:div>
        <w:div w:id="2103606345">
          <w:marLeft w:val="0"/>
          <w:marRight w:val="0"/>
          <w:marTop w:val="0"/>
          <w:marBottom w:val="0"/>
          <w:divBdr>
            <w:top w:val="none" w:sz="0" w:space="0" w:color="auto"/>
            <w:left w:val="none" w:sz="0" w:space="0" w:color="auto"/>
            <w:bottom w:val="none" w:sz="0" w:space="0" w:color="auto"/>
            <w:right w:val="none" w:sz="0" w:space="0" w:color="auto"/>
          </w:divBdr>
        </w:div>
      </w:divsChild>
    </w:div>
    <w:div w:id="873006406">
      <w:bodyDiv w:val="1"/>
      <w:marLeft w:val="0"/>
      <w:marRight w:val="0"/>
      <w:marTop w:val="0"/>
      <w:marBottom w:val="0"/>
      <w:divBdr>
        <w:top w:val="none" w:sz="0" w:space="0" w:color="auto"/>
        <w:left w:val="none" w:sz="0" w:space="0" w:color="auto"/>
        <w:bottom w:val="none" w:sz="0" w:space="0" w:color="auto"/>
        <w:right w:val="none" w:sz="0" w:space="0" w:color="auto"/>
      </w:divBdr>
    </w:div>
    <w:div w:id="1400517827">
      <w:bodyDiv w:val="1"/>
      <w:marLeft w:val="0"/>
      <w:marRight w:val="0"/>
      <w:marTop w:val="0"/>
      <w:marBottom w:val="0"/>
      <w:divBdr>
        <w:top w:val="none" w:sz="0" w:space="0" w:color="auto"/>
        <w:left w:val="none" w:sz="0" w:space="0" w:color="auto"/>
        <w:bottom w:val="none" w:sz="0" w:space="0" w:color="auto"/>
        <w:right w:val="none" w:sz="0" w:space="0" w:color="auto"/>
      </w:divBdr>
    </w:div>
    <w:div w:id="1671371577">
      <w:bodyDiv w:val="1"/>
      <w:marLeft w:val="0"/>
      <w:marRight w:val="0"/>
      <w:marTop w:val="0"/>
      <w:marBottom w:val="0"/>
      <w:divBdr>
        <w:top w:val="none" w:sz="0" w:space="0" w:color="auto"/>
        <w:left w:val="none" w:sz="0" w:space="0" w:color="auto"/>
        <w:bottom w:val="none" w:sz="0" w:space="0" w:color="auto"/>
        <w:right w:val="none" w:sz="0" w:space="0" w:color="auto"/>
      </w:divBdr>
    </w:div>
    <w:div w:id="1723476153">
      <w:bodyDiv w:val="1"/>
      <w:marLeft w:val="0"/>
      <w:marRight w:val="0"/>
      <w:marTop w:val="0"/>
      <w:marBottom w:val="0"/>
      <w:divBdr>
        <w:top w:val="none" w:sz="0" w:space="0" w:color="auto"/>
        <w:left w:val="none" w:sz="0" w:space="0" w:color="auto"/>
        <w:bottom w:val="none" w:sz="0" w:space="0" w:color="auto"/>
        <w:right w:val="none" w:sz="0" w:space="0" w:color="auto"/>
      </w:divBdr>
      <w:divsChild>
        <w:div w:id="401951392">
          <w:marLeft w:val="0"/>
          <w:marRight w:val="0"/>
          <w:marTop w:val="0"/>
          <w:marBottom w:val="0"/>
          <w:divBdr>
            <w:top w:val="none" w:sz="0" w:space="0" w:color="auto"/>
            <w:left w:val="none" w:sz="0" w:space="0" w:color="auto"/>
            <w:bottom w:val="none" w:sz="0" w:space="0" w:color="auto"/>
            <w:right w:val="none" w:sz="0" w:space="0" w:color="auto"/>
          </w:divBdr>
        </w:div>
        <w:div w:id="435831480">
          <w:marLeft w:val="0"/>
          <w:marRight w:val="0"/>
          <w:marTop w:val="0"/>
          <w:marBottom w:val="0"/>
          <w:divBdr>
            <w:top w:val="none" w:sz="0" w:space="0" w:color="auto"/>
            <w:left w:val="none" w:sz="0" w:space="0" w:color="auto"/>
            <w:bottom w:val="none" w:sz="0" w:space="0" w:color="auto"/>
            <w:right w:val="none" w:sz="0" w:space="0" w:color="auto"/>
          </w:divBdr>
        </w:div>
        <w:div w:id="495077927">
          <w:marLeft w:val="0"/>
          <w:marRight w:val="0"/>
          <w:marTop w:val="0"/>
          <w:marBottom w:val="0"/>
          <w:divBdr>
            <w:top w:val="none" w:sz="0" w:space="0" w:color="auto"/>
            <w:left w:val="none" w:sz="0" w:space="0" w:color="auto"/>
            <w:bottom w:val="none" w:sz="0" w:space="0" w:color="auto"/>
            <w:right w:val="none" w:sz="0" w:space="0" w:color="auto"/>
          </w:divBdr>
        </w:div>
        <w:div w:id="540167742">
          <w:marLeft w:val="0"/>
          <w:marRight w:val="0"/>
          <w:marTop w:val="0"/>
          <w:marBottom w:val="0"/>
          <w:divBdr>
            <w:top w:val="none" w:sz="0" w:space="0" w:color="auto"/>
            <w:left w:val="none" w:sz="0" w:space="0" w:color="auto"/>
            <w:bottom w:val="none" w:sz="0" w:space="0" w:color="auto"/>
            <w:right w:val="none" w:sz="0" w:space="0" w:color="auto"/>
          </w:divBdr>
        </w:div>
        <w:div w:id="623926311">
          <w:marLeft w:val="0"/>
          <w:marRight w:val="0"/>
          <w:marTop w:val="0"/>
          <w:marBottom w:val="0"/>
          <w:divBdr>
            <w:top w:val="none" w:sz="0" w:space="0" w:color="auto"/>
            <w:left w:val="none" w:sz="0" w:space="0" w:color="auto"/>
            <w:bottom w:val="none" w:sz="0" w:space="0" w:color="auto"/>
            <w:right w:val="none" w:sz="0" w:space="0" w:color="auto"/>
          </w:divBdr>
        </w:div>
        <w:div w:id="696274898">
          <w:marLeft w:val="0"/>
          <w:marRight w:val="0"/>
          <w:marTop w:val="0"/>
          <w:marBottom w:val="0"/>
          <w:divBdr>
            <w:top w:val="none" w:sz="0" w:space="0" w:color="auto"/>
            <w:left w:val="none" w:sz="0" w:space="0" w:color="auto"/>
            <w:bottom w:val="none" w:sz="0" w:space="0" w:color="auto"/>
            <w:right w:val="none" w:sz="0" w:space="0" w:color="auto"/>
          </w:divBdr>
        </w:div>
        <w:div w:id="713428270">
          <w:marLeft w:val="0"/>
          <w:marRight w:val="0"/>
          <w:marTop w:val="0"/>
          <w:marBottom w:val="0"/>
          <w:divBdr>
            <w:top w:val="none" w:sz="0" w:space="0" w:color="auto"/>
            <w:left w:val="none" w:sz="0" w:space="0" w:color="auto"/>
            <w:bottom w:val="none" w:sz="0" w:space="0" w:color="auto"/>
            <w:right w:val="none" w:sz="0" w:space="0" w:color="auto"/>
          </w:divBdr>
        </w:div>
        <w:div w:id="749886642">
          <w:marLeft w:val="0"/>
          <w:marRight w:val="0"/>
          <w:marTop w:val="0"/>
          <w:marBottom w:val="0"/>
          <w:divBdr>
            <w:top w:val="none" w:sz="0" w:space="0" w:color="auto"/>
            <w:left w:val="none" w:sz="0" w:space="0" w:color="auto"/>
            <w:bottom w:val="none" w:sz="0" w:space="0" w:color="auto"/>
            <w:right w:val="none" w:sz="0" w:space="0" w:color="auto"/>
          </w:divBdr>
        </w:div>
        <w:div w:id="1022514301">
          <w:marLeft w:val="0"/>
          <w:marRight w:val="0"/>
          <w:marTop w:val="0"/>
          <w:marBottom w:val="0"/>
          <w:divBdr>
            <w:top w:val="none" w:sz="0" w:space="0" w:color="auto"/>
            <w:left w:val="none" w:sz="0" w:space="0" w:color="auto"/>
            <w:bottom w:val="none" w:sz="0" w:space="0" w:color="auto"/>
            <w:right w:val="none" w:sz="0" w:space="0" w:color="auto"/>
          </w:divBdr>
        </w:div>
        <w:div w:id="1029835325">
          <w:marLeft w:val="0"/>
          <w:marRight w:val="0"/>
          <w:marTop w:val="0"/>
          <w:marBottom w:val="0"/>
          <w:divBdr>
            <w:top w:val="none" w:sz="0" w:space="0" w:color="auto"/>
            <w:left w:val="none" w:sz="0" w:space="0" w:color="auto"/>
            <w:bottom w:val="none" w:sz="0" w:space="0" w:color="auto"/>
            <w:right w:val="none" w:sz="0" w:space="0" w:color="auto"/>
          </w:divBdr>
        </w:div>
        <w:div w:id="1059746711">
          <w:marLeft w:val="0"/>
          <w:marRight w:val="0"/>
          <w:marTop w:val="0"/>
          <w:marBottom w:val="0"/>
          <w:divBdr>
            <w:top w:val="none" w:sz="0" w:space="0" w:color="auto"/>
            <w:left w:val="none" w:sz="0" w:space="0" w:color="auto"/>
            <w:bottom w:val="none" w:sz="0" w:space="0" w:color="auto"/>
            <w:right w:val="none" w:sz="0" w:space="0" w:color="auto"/>
          </w:divBdr>
        </w:div>
        <w:div w:id="1070687810">
          <w:marLeft w:val="0"/>
          <w:marRight w:val="0"/>
          <w:marTop w:val="0"/>
          <w:marBottom w:val="0"/>
          <w:divBdr>
            <w:top w:val="none" w:sz="0" w:space="0" w:color="auto"/>
            <w:left w:val="none" w:sz="0" w:space="0" w:color="auto"/>
            <w:bottom w:val="none" w:sz="0" w:space="0" w:color="auto"/>
            <w:right w:val="none" w:sz="0" w:space="0" w:color="auto"/>
          </w:divBdr>
        </w:div>
        <w:div w:id="1089426085">
          <w:marLeft w:val="0"/>
          <w:marRight w:val="0"/>
          <w:marTop w:val="0"/>
          <w:marBottom w:val="0"/>
          <w:divBdr>
            <w:top w:val="none" w:sz="0" w:space="0" w:color="auto"/>
            <w:left w:val="none" w:sz="0" w:space="0" w:color="auto"/>
            <w:bottom w:val="none" w:sz="0" w:space="0" w:color="auto"/>
            <w:right w:val="none" w:sz="0" w:space="0" w:color="auto"/>
          </w:divBdr>
        </w:div>
        <w:div w:id="1133209349">
          <w:marLeft w:val="0"/>
          <w:marRight w:val="0"/>
          <w:marTop w:val="0"/>
          <w:marBottom w:val="0"/>
          <w:divBdr>
            <w:top w:val="none" w:sz="0" w:space="0" w:color="auto"/>
            <w:left w:val="none" w:sz="0" w:space="0" w:color="auto"/>
            <w:bottom w:val="none" w:sz="0" w:space="0" w:color="auto"/>
            <w:right w:val="none" w:sz="0" w:space="0" w:color="auto"/>
          </w:divBdr>
        </w:div>
        <w:div w:id="1137529112">
          <w:marLeft w:val="0"/>
          <w:marRight w:val="0"/>
          <w:marTop w:val="0"/>
          <w:marBottom w:val="0"/>
          <w:divBdr>
            <w:top w:val="none" w:sz="0" w:space="0" w:color="auto"/>
            <w:left w:val="none" w:sz="0" w:space="0" w:color="auto"/>
            <w:bottom w:val="none" w:sz="0" w:space="0" w:color="auto"/>
            <w:right w:val="none" w:sz="0" w:space="0" w:color="auto"/>
          </w:divBdr>
        </w:div>
        <w:div w:id="1183008461">
          <w:marLeft w:val="0"/>
          <w:marRight w:val="0"/>
          <w:marTop w:val="0"/>
          <w:marBottom w:val="0"/>
          <w:divBdr>
            <w:top w:val="none" w:sz="0" w:space="0" w:color="auto"/>
            <w:left w:val="none" w:sz="0" w:space="0" w:color="auto"/>
            <w:bottom w:val="none" w:sz="0" w:space="0" w:color="auto"/>
            <w:right w:val="none" w:sz="0" w:space="0" w:color="auto"/>
          </w:divBdr>
        </w:div>
        <w:div w:id="1208374929">
          <w:marLeft w:val="0"/>
          <w:marRight w:val="0"/>
          <w:marTop w:val="0"/>
          <w:marBottom w:val="0"/>
          <w:divBdr>
            <w:top w:val="none" w:sz="0" w:space="0" w:color="auto"/>
            <w:left w:val="none" w:sz="0" w:space="0" w:color="auto"/>
            <w:bottom w:val="none" w:sz="0" w:space="0" w:color="auto"/>
            <w:right w:val="none" w:sz="0" w:space="0" w:color="auto"/>
          </w:divBdr>
        </w:div>
        <w:div w:id="1275552475">
          <w:marLeft w:val="0"/>
          <w:marRight w:val="0"/>
          <w:marTop w:val="0"/>
          <w:marBottom w:val="0"/>
          <w:divBdr>
            <w:top w:val="none" w:sz="0" w:space="0" w:color="auto"/>
            <w:left w:val="none" w:sz="0" w:space="0" w:color="auto"/>
            <w:bottom w:val="none" w:sz="0" w:space="0" w:color="auto"/>
            <w:right w:val="none" w:sz="0" w:space="0" w:color="auto"/>
          </w:divBdr>
        </w:div>
        <w:div w:id="1300725595">
          <w:marLeft w:val="0"/>
          <w:marRight w:val="0"/>
          <w:marTop w:val="0"/>
          <w:marBottom w:val="0"/>
          <w:divBdr>
            <w:top w:val="none" w:sz="0" w:space="0" w:color="auto"/>
            <w:left w:val="none" w:sz="0" w:space="0" w:color="auto"/>
            <w:bottom w:val="none" w:sz="0" w:space="0" w:color="auto"/>
            <w:right w:val="none" w:sz="0" w:space="0" w:color="auto"/>
          </w:divBdr>
        </w:div>
        <w:div w:id="1496913439">
          <w:marLeft w:val="0"/>
          <w:marRight w:val="0"/>
          <w:marTop w:val="0"/>
          <w:marBottom w:val="0"/>
          <w:divBdr>
            <w:top w:val="none" w:sz="0" w:space="0" w:color="auto"/>
            <w:left w:val="none" w:sz="0" w:space="0" w:color="auto"/>
            <w:bottom w:val="none" w:sz="0" w:space="0" w:color="auto"/>
            <w:right w:val="none" w:sz="0" w:space="0" w:color="auto"/>
          </w:divBdr>
        </w:div>
        <w:div w:id="1855799129">
          <w:marLeft w:val="0"/>
          <w:marRight w:val="0"/>
          <w:marTop w:val="0"/>
          <w:marBottom w:val="0"/>
          <w:divBdr>
            <w:top w:val="none" w:sz="0" w:space="0" w:color="auto"/>
            <w:left w:val="none" w:sz="0" w:space="0" w:color="auto"/>
            <w:bottom w:val="none" w:sz="0" w:space="0" w:color="auto"/>
            <w:right w:val="none" w:sz="0" w:space="0" w:color="auto"/>
          </w:divBdr>
        </w:div>
        <w:div w:id="1937975741">
          <w:marLeft w:val="0"/>
          <w:marRight w:val="0"/>
          <w:marTop w:val="0"/>
          <w:marBottom w:val="0"/>
          <w:divBdr>
            <w:top w:val="none" w:sz="0" w:space="0" w:color="auto"/>
            <w:left w:val="none" w:sz="0" w:space="0" w:color="auto"/>
            <w:bottom w:val="none" w:sz="0" w:space="0" w:color="auto"/>
            <w:right w:val="none" w:sz="0" w:space="0" w:color="auto"/>
          </w:divBdr>
        </w:div>
        <w:div w:id="1983384487">
          <w:marLeft w:val="0"/>
          <w:marRight w:val="0"/>
          <w:marTop w:val="0"/>
          <w:marBottom w:val="0"/>
          <w:divBdr>
            <w:top w:val="none" w:sz="0" w:space="0" w:color="auto"/>
            <w:left w:val="none" w:sz="0" w:space="0" w:color="auto"/>
            <w:bottom w:val="none" w:sz="0" w:space="0" w:color="auto"/>
            <w:right w:val="none" w:sz="0" w:space="0" w:color="auto"/>
          </w:divBdr>
        </w:div>
        <w:div w:id="2135176942">
          <w:marLeft w:val="0"/>
          <w:marRight w:val="0"/>
          <w:marTop w:val="0"/>
          <w:marBottom w:val="0"/>
          <w:divBdr>
            <w:top w:val="none" w:sz="0" w:space="0" w:color="auto"/>
            <w:left w:val="none" w:sz="0" w:space="0" w:color="auto"/>
            <w:bottom w:val="none" w:sz="0" w:space="0" w:color="auto"/>
            <w:right w:val="none" w:sz="0" w:space="0" w:color="auto"/>
          </w:divBdr>
        </w:div>
      </w:divsChild>
    </w:div>
    <w:div w:id="1829906707">
      <w:bodyDiv w:val="1"/>
      <w:marLeft w:val="0"/>
      <w:marRight w:val="0"/>
      <w:marTop w:val="0"/>
      <w:marBottom w:val="0"/>
      <w:divBdr>
        <w:top w:val="none" w:sz="0" w:space="0" w:color="auto"/>
        <w:left w:val="none" w:sz="0" w:space="0" w:color="auto"/>
        <w:bottom w:val="none" w:sz="0" w:space="0" w:color="auto"/>
        <w:right w:val="none" w:sz="0" w:space="0" w:color="auto"/>
      </w:divBdr>
      <w:divsChild>
        <w:div w:id="23867276">
          <w:marLeft w:val="0"/>
          <w:marRight w:val="0"/>
          <w:marTop w:val="0"/>
          <w:marBottom w:val="0"/>
          <w:divBdr>
            <w:top w:val="none" w:sz="0" w:space="0" w:color="auto"/>
            <w:left w:val="none" w:sz="0" w:space="0" w:color="auto"/>
            <w:bottom w:val="none" w:sz="0" w:space="0" w:color="auto"/>
            <w:right w:val="none" w:sz="0" w:space="0" w:color="auto"/>
          </w:divBdr>
        </w:div>
        <w:div w:id="79258430">
          <w:marLeft w:val="0"/>
          <w:marRight w:val="0"/>
          <w:marTop w:val="0"/>
          <w:marBottom w:val="0"/>
          <w:divBdr>
            <w:top w:val="none" w:sz="0" w:space="0" w:color="auto"/>
            <w:left w:val="none" w:sz="0" w:space="0" w:color="auto"/>
            <w:bottom w:val="none" w:sz="0" w:space="0" w:color="auto"/>
            <w:right w:val="none" w:sz="0" w:space="0" w:color="auto"/>
          </w:divBdr>
        </w:div>
        <w:div w:id="96104418">
          <w:marLeft w:val="0"/>
          <w:marRight w:val="0"/>
          <w:marTop w:val="0"/>
          <w:marBottom w:val="0"/>
          <w:divBdr>
            <w:top w:val="none" w:sz="0" w:space="0" w:color="auto"/>
            <w:left w:val="none" w:sz="0" w:space="0" w:color="auto"/>
            <w:bottom w:val="none" w:sz="0" w:space="0" w:color="auto"/>
            <w:right w:val="none" w:sz="0" w:space="0" w:color="auto"/>
          </w:divBdr>
        </w:div>
        <w:div w:id="125008519">
          <w:marLeft w:val="0"/>
          <w:marRight w:val="0"/>
          <w:marTop w:val="0"/>
          <w:marBottom w:val="0"/>
          <w:divBdr>
            <w:top w:val="none" w:sz="0" w:space="0" w:color="auto"/>
            <w:left w:val="none" w:sz="0" w:space="0" w:color="auto"/>
            <w:bottom w:val="none" w:sz="0" w:space="0" w:color="auto"/>
            <w:right w:val="none" w:sz="0" w:space="0" w:color="auto"/>
          </w:divBdr>
        </w:div>
        <w:div w:id="144050352">
          <w:marLeft w:val="0"/>
          <w:marRight w:val="0"/>
          <w:marTop w:val="0"/>
          <w:marBottom w:val="0"/>
          <w:divBdr>
            <w:top w:val="none" w:sz="0" w:space="0" w:color="auto"/>
            <w:left w:val="none" w:sz="0" w:space="0" w:color="auto"/>
            <w:bottom w:val="none" w:sz="0" w:space="0" w:color="auto"/>
            <w:right w:val="none" w:sz="0" w:space="0" w:color="auto"/>
          </w:divBdr>
        </w:div>
        <w:div w:id="182941102">
          <w:marLeft w:val="0"/>
          <w:marRight w:val="0"/>
          <w:marTop w:val="0"/>
          <w:marBottom w:val="0"/>
          <w:divBdr>
            <w:top w:val="none" w:sz="0" w:space="0" w:color="auto"/>
            <w:left w:val="none" w:sz="0" w:space="0" w:color="auto"/>
            <w:bottom w:val="none" w:sz="0" w:space="0" w:color="auto"/>
            <w:right w:val="none" w:sz="0" w:space="0" w:color="auto"/>
          </w:divBdr>
        </w:div>
        <w:div w:id="217864946">
          <w:marLeft w:val="0"/>
          <w:marRight w:val="0"/>
          <w:marTop w:val="0"/>
          <w:marBottom w:val="0"/>
          <w:divBdr>
            <w:top w:val="none" w:sz="0" w:space="0" w:color="auto"/>
            <w:left w:val="none" w:sz="0" w:space="0" w:color="auto"/>
            <w:bottom w:val="none" w:sz="0" w:space="0" w:color="auto"/>
            <w:right w:val="none" w:sz="0" w:space="0" w:color="auto"/>
          </w:divBdr>
        </w:div>
        <w:div w:id="317533975">
          <w:marLeft w:val="0"/>
          <w:marRight w:val="0"/>
          <w:marTop w:val="0"/>
          <w:marBottom w:val="0"/>
          <w:divBdr>
            <w:top w:val="none" w:sz="0" w:space="0" w:color="auto"/>
            <w:left w:val="none" w:sz="0" w:space="0" w:color="auto"/>
            <w:bottom w:val="none" w:sz="0" w:space="0" w:color="auto"/>
            <w:right w:val="none" w:sz="0" w:space="0" w:color="auto"/>
          </w:divBdr>
        </w:div>
        <w:div w:id="317534718">
          <w:marLeft w:val="0"/>
          <w:marRight w:val="0"/>
          <w:marTop w:val="0"/>
          <w:marBottom w:val="0"/>
          <w:divBdr>
            <w:top w:val="none" w:sz="0" w:space="0" w:color="auto"/>
            <w:left w:val="none" w:sz="0" w:space="0" w:color="auto"/>
            <w:bottom w:val="none" w:sz="0" w:space="0" w:color="auto"/>
            <w:right w:val="none" w:sz="0" w:space="0" w:color="auto"/>
          </w:divBdr>
        </w:div>
        <w:div w:id="324362239">
          <w:marLeft w:val="0"/>
          <w:marRight w:val="0"/>
          <w:marTop w:val="0"/>
          <w:marBottom w:val="0"/>
          <w:divBdr>
            <w:top w:val="none" w:sz="0" w:space="0" w:color="auto"/>
            <w:left w:val="none" w:sz="0" w:space="0" w:color="auto"/>
            <w:bottom w:val="none" w:sz="0" w:space="0" w:color="auto"/>
            <w:right w:val="none" w:sz="0" w:space="0" w:color="auto"/>
          </w:divBdr>
        </w:div>
        <w:div w:id="375010489">
          <w:marLeft w:val="0"/>
          <w:marRight w:val="0"/>
          <w:marTop w:val="0"/>
          <w:marBottom w:val="0"/>
          <w:divBdr>
            <w:top w:val="none" w:sz="0" w:space="0" w:color="auto"/>
            <w:left w:val="none" w:sz="0" w:space="0" w:color="auto"/>
            <w:bottom w:val="none" w:sz="0" w:space="0" w:color="auto"/>
            <w:right w:val="none" w:sz="0" w:space="0" w:color="auto"/>
          </w:divBdr>
        </w:div>
        <w:div w:id="376707469">
          <w:marLeft w:val="0"/>
          <w:marRight w:val="0"/>
          <w:marTop w:val="0"/>
          <w:marBottom w:val="0"/>
          <w:divBdr>
            <w:top w:val="none" w:sz="0" w:space="0" w:color="auto"/>
            <w:left w:val="none" w:sz="0" w:space="0" w:color="auto"/>
            <w:bottom w:val="none" w:sz="0" w:space="0" w:color="auto"/>
            <w:right w:val="none" w:sz="0" w:space="0" w:color="auto"/>
          </w:divBdr>
        </w:div>
        <w:div w:id="504637209">
          <w:marLeft w:val="0"/>
          <w:marRight w:val="0"/>
          <w:marTop w:val="0"/>
          <w:marBottom w:val="0"/>
          <w:divBdr>
            <w:top w:val="none" w:sz="0" w:space="0" w:color="auto"/>
            <w:left w:val="none" w:sz="0" w:space="0" w:color="auto"/>
            <w:bottom w:val="none" w:sz="0" w:space="0" w:color="auto"/>
            <w:right w:val="none" w:sz="0" w:space="0" w:color="auto"/>
          </w:divBdr>
        </w:div>
        <w:div w:id="542794306">
          <w:marLeft w:val="0"/>
          <w:marRight w:val="0"/>
          <w:marTop w:val="0"/>
          <w:marBottom w:val="0"/>
          <w:divBdr>
            <w:top w:val="none" w:sz="0" w:space="0" w:color="auto"/>
            <w:left w:val="none" w:sz="0" w:space="0" w:color="auto"/>
            <w:bottom w:val="none" w:sz="0" w:space="0" w:color="auto"/>
            <w:right w:val="none" w:sz="0" w:space="0" w:color="auto"/>
          </w:divBdr>
        </w:div>
        <w:div w:id="634138105">
          <w:marLeft w:val="0"/>
          <w:marRight w:val="0"/>
          <w:marTop w:val="0"/>
          <w:marBottom w:val="0"/>
          <w:divBdr>
            <w:top w:val="none" w:sz="0" w:space="0" w:color="auto"/>
            <w:left w:val="none" w:sz="0" w:space="0" w:color="auto"/>
            <w:bottom w:val="none" w:sz="0" w:space="0" w:color="auto"/>
            <w:right w:val="none" w:sz="0" w:space="0" w:color="auto"/>
          </w:divBdr>
        </w:div>
        <w:div w:id="692458394">
          <w:marLeft w:val="0"/>
          <w:marRight w:val="0"/>
          <w:marTop w:val="0"/>
          <w:marBottom w:val="0"/>
          <w:divBdr>
            <w:top w:val="none" w:sz="0" w:space="0" w:color="auto"/>
            <w:left w:val="none" w:sz="0" w:space="0" w:color="auto"/>
            <w:bottom w:val="none" w:sz="0" w:space="0" w:color="auto"/>
            <w:right w:val="none" w:sz="0" w:space="0" w:color="auto"/>
          </w:divBdr>
        </w:div>
        <w:div w:id="736974516">
          <w:marLeft w:val="0"/>
          <w:marRight w:val="0"/>
          <w:marTop w:val="0"/>
          <w:marBottom w:val="0"/>
          <w:divBdr>
            <w:top w:val="none" w:sz="0" w:space="0" w:color="auto"/>
            <w:left w:val="none" w:sz="0" w:space="0" w:color="auto"/>
            <w:bottom w:val="none" w:sz="0" w:space="0" w:color="auto"/>
            <w:right w:val="none" w:sz="0" w:space="0" w:color="auto"/>
          </w:divBdr>
        </w:div>
        <w:div w:id="738287928">
          <w:marLeft w:val="0"/>
          <w:marRight w:val="0"/>
          <w:marTop w:val="0"/>
          <w:marBottom w:val="0"/>
          <w:divBdr>
            <w:top w:val="none" w:sz="0" w:space="0" w:color="auto"/>
            <w:left w:val="none" w:sz="0" w:space="0" w:color="auto"/>
            <w:bottom w:val="none" w:sz="0" w:space="0" w:color="auto"/>
            <w:right w:val="none" w:sz="0" w:space="0" w:color="auto"/>
          </w:divBdr>
        </w:div>
        <w:div w:id="739912079">
          <w:marLeft w:val="0"/>
          <w:marRight w:val="0"/>
          <w:marTop w:val="0"/>
          <w:marBottom w:val="0"/>
          <w:divBdr>
            <w:top w:val="none" w:sz="0" w:space="0" w:color="auto"/>
            <w:left w:val="none" w:sz="0" w:space="0" w:color="auto"/>
            <w:bottom w:val="none" w:sz="0" w:space="0" w:color="auto"/>
            <w:right w:val="none" w:sz="0" w:space="0" w:color="auto"/>
          </w:divBdr>
        </w:div>
        <w:div w:id="740753894">
          <w:marLeft w:val="0"/>
          <w:marRight w:val="0"/>
          <w:marTop w:val="0"/>
          <w:marBottom w:val="0"/>
          <w:divBdr>
            <w:top w:val="none" w:sz="0" w:space="0" w:color="auto"/>
            <w:left w:val="none" w:sz="0" w:space="0" w:color="auto"/>
            <w:bottom w:val="none" w:sz="0" w:space="0" w:color="auto"/>
            <w:right w:val="none" w:sz="0" w:space="0" w:color="auto"/>
          </w:divBdr>
        </w:div>
        <w:div w:id="776944267">
          <w:marLeft w:val="0"/>
          <w:marRight w:val="0"/>
          <w:marTop w:val="0"/>
          <w:marBottom w:val="0"/>
          <w:divBdr>
            <w:top w:val="none" w:sz="0" w:space="0" w:color="auto"/>
            <w:left w:val="none" w:sz="0" w:space="0" w:color="auto"/>
            <w:bottom w:val="none" w:sz="0" w:space="0" w:color="auto"/>
            <w:right w:val="none" w:sz="0" w:space="0" w:color="auto"/>
          </w:divBdr>
        </w:div>
        <w:div w:id="809327656">
          <w:marLeft w:val="0"/>
          <w:marRight w:val="0"/>
          <w:marTop w:val="0"/>
          <w:marBottom w:val="0"/>
          <w:divBdr>
            <w:top w:val="none" w:sz="0" w:space="0" w:color="auto"/>
            <w:left w:val="none" w:sz="0" w:space="0" w:color="auto"/>
            <w:bottom w:val="none" w:sz="0" w:space="0" w:color="auto"/>
            <w:right w:val="none" w:sz="0" w:space="0" w:color="auto"/>
          </w:divBdr>
        </w:div>
        <w:div w:id="863202802">
          <w:marLeft w:val="0"/>
          <w:marRight w:val="0"/>
          <w:marTop w:val="0"/>
          <w:marBottom w:val="0"/>
          <w:divBdr>
            <w:top w:val="none" w:sz="0" w:space="0" w:color="auto"/>
            <w:left w:val="none" w:sz="0" w:space="0" w:color="auto"/>
            <w:bottom w:val="none" w:sz="0" w:space="0" w:color="auto"/>
            <w:right w:val="none" w:sz="0" w:space="0" w:color="auto"/>
          </w:divBdr>
        </w:div>
        <w:div w:id="964389552">
          <w:marLeft w:val="0"/>
          <w:marRight w:val="0"/>
          <w:marTop w:val="0"/>
          <w:marBottom w:val="0"/>
          <w:divBdr>
            <w:top w:val="none" w:sz="0" w:space="0" w:color="auto"/>
            <w:left w:val="none" w:sz="0" w:space="0" w:color="auto"/>
            <w:bottom w:val="none" w:sz="0" w:space="0" w:color="auto"/>
            <w:right w:val="none" w:sz="0" w:space="0" w:color="auto"/>
          </w:divBdr>
        </w:div>
        <w:div w:id="983319053">
          <w:marLeft w:val="0"/>
          <w:marRight w:val="0"/>
          <w:marTop w:val="0"/>
          <w:marBottom w:val="0"/>
          <w:divBdr>
            <w:top w:val="none" w:sz="0" w:space="0" w:color="auto"/>
            <w:left w:val="none" w:sz="0" w:space="0" w:color="auto"/>
            <w:bottom w:val="none" w:sz="0" w:space="0" w:color="auto"/>
            <w:right w:val="none" w:sz="0" w:space="0" w:color="auto"/>
          </w:divBdr>
        </w:div>
        <w:div w:id="986862307">
          <w:marLeft w:val="0"/>
          <w:marRight w:val="0"/>
          <w:marTop w:val="0"/>
          <w:marBottom w:val="0"/>
          <w:divBdr>
            <w:top w:val="none" w:sz="0" w:space="0" w:color="auto"/>
            <w:left w:val="none" w:sz="0" w:space="0" w:color="auto"/>
            <w:bottom w:val="none" w:sz="0" w:space="0" w:color="auto"/>
            <w:right w:val="none" w:sz="0" w:space="0" w:color="auto"/>
          </w:divBdr>
        </w:div>
        <w:div w:id="1021665103">
          <w:marLeft w:val="0"/>
          <w:marRight w:val="0"/>
          <w:marTop w:val="0"/>
          <w:marBottom w:val="0"/>
          <w:divBdr>
            <w:top w:val="none" w:sz="0" w:space="0" w:color="auto"/>
            <w:left w:val="none" w:sz="0" w:space="0" w:color="auto"/>
            <w:bottom w:val="none" w:sz="0" w:space="0" w:color="auto"/>
            <w:right w:val="none" w:sz="0" w:space="0" w:color="auto"/>
          </w:divBdr>
        </w:div>
        <w:div w:id="1044524462">
          <w:marLeft w:val="0"/>
          <w:marRight w:val="0"/>
          <w:marTop w:val="0"/>
          <w:marBottom w:val="0"/>
          <w:divBdr>
            <w:top w:val="none" w:sz="0" w:space="0" w:color="auto"/>
            <w:left w:val="none" w:sz="0" w:space="0" w:color="auto"/>
            <w:bottom w:val="none" w:sz="0" w:space="0" w:color="auto"/>
            <w:right w:val="none" w:sz="0" w:space="0" w:color="auto"/>
          </w:divBdr>
        </w:div>
        <w:div w:id="1046176849">
          <w:marLeft w:val="0"/>
          <w:marRight w:val="0"/>
          <w:marTop w:val="0"/>
          <w:marBottom w:val="0"/>
          <w:divBdr>
            <w:top w:val="none" w:sz="0" w:space="0" w:color="auto"/>
            <w:left w:val="none" w:sz="0" w:space="0" w:color="auto"/>
            <w:bottom w:val="none" w:sz="0" w:space="0" w:color="auto"/>
            <w:right w:val="none" w:sz="0" w:space="0" w:color="auto"/>
          </w:divBdr>
        </w:div>
        <w:div w:id="1046487514">
          <w:marLeft w:val="0"/>
          <w:marRight w:val="0"/>
          <w:marTop w:val="0"/>
          <w:marBottom w:val="0"/>
          <w:divBdr>
            <w:top w:val="none" w:sz="0" w:space="0" w:color="auto"/>
            <w:left w:val="none" w:sz="0" w:space="0" w:color="auto"/>
            <w:bottom w:val="none" w:sz="0" w:space="0" w:color="auto"/>
            <w:right w:val="none" w:sz="0" w:space="0" w:color="auto"/>
          </w:divBdr>
        </w:div>
        <w:div w:id="1064992213">
          <w:marLeft w:val="0"/>
          <w:marRight w:val="0"/>
          <w:marTop w:val="0"/>
          <w:marBottom w:val="0"/>
          <w:divBdr>
            <w:top w:val="none" w:sz="0" w:space="0" w:color="auto"/>
            <w:left w:val="none" w:sz="0" w:space="0" w:color="auto"/>
            <w:bottom w:val="none" w:sz="0" w:space="0" w:color="auto"/>
            <w:right w:val="none" w:sz="0" w:space="0" w:color="auto"/>
          </w:divBdr>
        </w:div>
        <w:div w:id="1119880253">
          <w:marLeft w:val="0"/>
          <w:marRight w:val="0"/>
          <w:marTop w:val="0"/>
          <w:marBottom w:val="0"/>
          <w:divBdr>
            <w:top w:val="none" w:sz="0" w:space="0" w:color="auto"/>
            <w:left w:val="none" w:sz="0" w:space="0" w:color="auto"/>
            <w:bottom w:val="none" w:sz="0" w:space="0" w:color="auto"/>
            <w:right w:val="none" w:sz="0" w:space="0" w:color="auto"/>
          </w:divBdr>
        </w:div>
        <w:div w:id="1153596062">
          <w:marLeft w:val="0"/>
          <w:marRight w:val="0"/>
          <w:marTop w:val="0"/>
          <w:marBottom w:val="0"/>
          <w:divBdr>
            <w:top w:val="none" w:sz="0" w:space="0" w:color="auto"/>
            <w:left w:val="none" w:sz="0" w:space="0" w:color="auto"/>
            <w:bottom w:val="none" w:sz="0" w:space="0" w:color="auto"/>
            <w:right w:val="none" w:sz="0" w:space="0" w:color="auto"/>
          </w:divBdr>
        </w:div>
        <w:div w:id="1235359031">
          <w:marLeft w:val="0"/>
          <w:marRight w:val="0"/>
          <w:marTop w:val="0"/>
          <w:marBottom w:val="0"/>
          <w:divBdr>
            <w:top w:val="none" w:sz="0" w:space="0" w:color="auto"/>
            <w:left w:val="none" w:sz="0" w:space="0" w:color="auto"/>
            <w:bottom w:val="none" w:sz="0" w:space="0" w:color="auto"/>
            <w:right w:val="none" w:sz="0" w:space="0" w:color="auto"/>
          </w:divBdr>
        </w:div>
        <w:div w:id="1266843200">
          <w:marLeft w:val="0"/>
          <w:marRight w:val="0"/>
          <w:marTop w:val="0"/>
          <w:marBottom w:val="0"/>
          <w:divBdr>
            <w:top w:val="none" w:sz="0" w:space="0" w:color="auto"/>
            <w:left w:val="none" w:sz="0" w:space="0" w:color="auto"/>
            <w:bottom w:val="none" w:sz="0" w:space="0" w:color="auto"/>
            <w:right w:val="none" w:sz="0" w:space="0" w:color="auto"/>
          </w:divBdr>
        </w:div>
        <w:div w:id="1311058712">
          <w:marLeft w:val="0"/>
          <w:marRight w:val="0"/>
          <w:marTop w:val="0"/>
          <w:marBottom w:val="0"/>
          <w:divBdr>
            <w:top w:val="none" w:sz="0" w:space="0" w:color="auto"/>
            <w:left w:val="none" w:sz="0" w:space="0" w:color="auto"/>
            <w:bottom w:val="none" w:sz="0" w:space="0" w:color="auto"/>
            <w:right w:val="none" w:sz="0" w:space="0" w:color="auto"/>
          </w:divBdr>
        </w:div>
        <w:div w:id="1312490936">
          <w:marLeft w:val="0"/>
          <w:marRight w:val="0"/>
          <w:marTop w:val="0"/>
          <w:marBottom w:val="0"/>
          <w:divBdr>
            <w:top w:val="none" w:sz="0" w:space="0" w:color="auto"/>
            <w:left w:val="none" w:sz="0" w:space="0" w:color="auto"/>
            <w:bottom w:val="none" w:sz="0" w:space="0" w:color="auto"/>
            <w:right w:val="none" w:sz="0" w:space="0" w:color="auto"/>
          </w:divBdr>
        </w:div>
        <w:div w:id="1464545055">
          <w:marLeft w:val="0"/>
          <w:marRight w:val="0"/>
          <w:marTop w:val="0"/>
          <w:marBottom w:val="0"/>
          <w:divBdr>
            <w:top w:val="none" w:sz="0" w:space="0" w:color="auto"/>
            <w:left w:val="none" w:sz="0" w:space="0" w:color="auto"/>
            <w:bottom w:val="none" w:sz="0" w:space="0" w:color="auto"/>
            <w:right w:val="none" w:sz="0" w:space="0" w:color="auto"/>
          </w:divBdr>
        </w:div>
        <w:div w:id="1475218487">
          <w:marLeft w:val="0"/>
          <w:marRight w:val="0"/>
          <w:marTop w:val="0"/>
          <w:marBottom w:val="0"/>
          <w:divBdr>
            <w:top w:val="none" w:sz="0" w:space="0" w:color="auto"/>
            <w:left w:val="none" w:sz="0" w:space="0" w:color="auto"/>
            <w:bottom w:val="none" w:sz="0" w:space="0" w:color="auto"/>
            <w:right w:val="none" w:sz="0" w:space="0" w:color="auto"/>
          </w:divBdr>
        </w:div>
        <w:div w:id="1505047555">
          <w:marLeft w:val="0"/>
          <w:marRight w:val="0"/>
          <w:marTop w:val="0"/>
          <w:marBottom w:val="0"/>
          <w:divBdr>
            <w:top w:val="none" w:sz="0" w:space="0" w:color="auto"/>
            <w:left w:val="none" w:sz="0" w:space="0" w:color="auto"/>
            <w:bottom w:val="none" w:sz="0" w:space="0" w:color="auto"/>
            <w:right w:val="none" w:sz="0" w:space="0" w:color="auto"/>
          </w:divBdr>
        </w:div>
        <w:div w:id="1548957643">
          <w:marLeft w:val="0"/>
          <w:marRight w:val="0"/>
          <w:marTop w:val="0"/>
          <w:marBottom w:val="0"/>
          <w:divBdr>
            <w:top w:val="none" w:sz="0" w:space="0" w:color="auto"/>
            <w:left w:val="none" w:sz="0" w:space="0" w:color="auto"/>
            <w:bottom w:val="none" w:sz="0" w:space="0" w:color="auto"/>
            <w:right w:val="none" w:sz="0" w:space="0" w:color="auto"/>
          </w:divBdr>
        </w:div>
        <w:div w:id="1582523928">
          <w:marLeft w:val="0"/>
          <w:marRight w:val="0"/>
          <w:marTop w:val="0"/>
          <w:marBottom w:val="0"/>
          <w:divBdr>
            <w:top w:val="none" w:sz="0" w:space="0" w:color="auto"/>
            <w:left w:val="none" w:sz="0" w:space="0" w:color="auto"/>
            <w:bottom w:val="none" w:sz="0" w:space="0" w:color="auto"/>
            <w:right w:val="none" w:sz="0" w:space="0" w:color="auto"/>
          </w:divBdr>
        </w:div>
        <w:div w:id="1668942216">
          <w:marLeft w:val="0"/>
          <w:marRight w:val="0"/>
          <w:marTop w:val="0"/>
          <w:marBottom w:val="0"/>
          <w:divBdr>
            <w:top w:val="none" w:sz="0" w:space="0" w:color="auto"/>
            <w:left w:val="none" w:sz="0" w:space="0" w:color="auto"/>
            <w:bottom w:val="none" w:sz="0" w:space="0" w:color="auto"/>
            <w:right w:val="none" w:sz="0" w:space="0" w:color="auto"/>
          </w:divBdr>
        </w:div>
        <w:div w:id="1692606944">
          <w:marLeft w:val="0"/>
          <w:marRight w:val="0"/>
          <w:marTop w:val="0"/>
          <w:marBottom w:val="0"/>
          <w:divBdr>
            <w:top w:val="none" w:sz="0" w:space="0" w:color="auto"/>
            <w:left w:val="none" w:sz="0" w:space="0" w:color="auto"/>
            <w:bottom w:val="none" w:sz="0" w:space="0" w:color="auto"/>
            <w:right w:val="none" w:sz="0" w:space="0" w:color="auto"/>
          </w:divBdr>
        </w:div>
        <w:div w:id="1696803411">
          <w:marLeft w:val="0"/>
          <w:marRight w:val="0"/>
          <w:marTop w:val="0"/>
          <w:marBottom w:val="0"/>
          <w:divBdr>
            <w:top w:val="none" w:sz="0" w:space="0" w:color="auto"/>
            <w:left w:val="none" w:sz="0" w:space="0" w:color="auto"/>
            <w:bottom w:val="none" w:sz="0" w:space="0" w:color="auto"/>
            <w:right w:val="none" w:sz="0" w:space="0" w:color="auto"/>
          </w:divBdr>
        </w:div>
        <w:div w:id="1702322201">
          <w:marLeft w:val="0"/>
          <w:marRight w:val="0"/>
          <w:marTop w:val="0"/>
          <w:marBottom w:val="0"/>
          <w:divBdr>
            <w:top w:val="none" w:sz="0" w:space="0" w:color="auto"/>
            <w:left w:val="none" w:sz="0" w:space="0" w:color="auto"/>
            <w:bottom w:val="none" w:sz="0" w:space="0" w:color="auto"/>
            <w:right w:val="none" w:sz="0" w:space="0" w:color="auto"/>
          </w:divBdr>
        </w:div>
        <w:div w:id="1715081173">
          <w:marLeft w:val="0"/>
          <w:marRight w:val="0"/>
          <w:marTop w:val="0"/>
          <w:marBottom w:val="0"/>
          <w:divBdr>
            <w:top w:val="none" w:sz="0" w:space="0" w:color="auto"/>
            <w:left w:val="none" w:sz="0" w:space="0" w:color="auto"/>
            <w:bottom w:val="none" w:sz="0" w:space="0" w:color="auto"/>
            <w:right w:val="none" w:sz="0" w:space="0" w:color="auto"/>
          </w:divBdr>
        </w:div>
        <w:div w:id="1796561314">
          <w:marLeft w:val="0"/>
          <w:marRight w:val="0"/>
          <w:marTop w:val="0"/>
          <w:marBottom w:val="0"/>
          <w:divBdr>
            <w:top w:val="none" w:sz="0" w:space="0" w:color="auto"/>
            <w:left w:val="none" w:sz="0" w:space="0" w:color="auto"/>
            <w:bottom w:val="none" w:sz="0" w:space="0" w:color="auto"/>
            <w:right w:val="none" w:sz="0" w:space="0" w:color="auto"/>
          </w:divBdr>
        </w:div>
        <w:div w:id="1825312969">
          <w:marLeft w:val="0"/>
          <w:marRight w:val="0"/>
          <w:marTop w:val="0"/>
          <w:marBottom w:val="0"/>
          <w:divBdr>
            <w:top w:val="none" w:sz="0" w:space="0" w:color="auto"/>
            <w:left w:val="none" w:sz="0" w:space="0" w:color="auto"/>
            <w:bottom w:val="none" w:sz="0" w:space="0" w:color="auto"/>
            <w:right w:val="none" w:sz="0" w:space="0" w:color="auto"/>
          </w:divBdr>
        </w:div>
        <w:div w:id="1874951827">
          <w:marLeft w:val="0"/>
          <w:marRight w:val="0"/>
          <w:marTop w:val="0"/>
          <w:marBottom w:val="0"/>
          <w:divBdr>
            <w:top w:val="none" w:sz="0" w:space="0" w:color="auto"/>
            <w:left w:val="none" w:sz="0" w:space="0" w:color="auto"/>
            <w:bottom w:val="none" w:sz="0" w:space="0" w:color="auto"/>
            <w:right w:val="none" w:sz="0" w:space="0" w:color="auto"/>
          </w:divBdr>
        </w:div>
        <w:div w:id="1905211483">
          <w:marLeft w:val="0"/>
          <w:marRight w:val="0"/>
          <w:marTop w:val="0"/>
          <w:marBottom w:val="0"/>
          <w:divBdr>
            <w:top w:val="none" w:sz="0" w:space="0" w:color="auto"/>
            <w:left w:val="none" w:sz="0" w:space="0" w:color="auto"/>
            <w:bottom w:val="none" w:sz="0" w:space="0" w:color="auto"/>
            <w:right w:val="none" w:sz="0" w:space="0" w:color="auto"/>
          </w:divBdr>
        </w:div>
        <w:div w:id="1917861050">
          <w:marLeft w:val="0"/>
          <w:marRight w:val="0"/>
          <w:marTop w:val="0"/>
          <w:marBottom w:val="0"/>
          <w:divBdr>
            <w:top w:val="none" w:sz="0" w:space="0" w:color="auto"/>
            <w:left w:val="none" w:sz="0" w:space="0" w:color="auto"/>
            <w:bottom w:val="none" w:sz="0" w:space="0" w:color="auto"/>
            <w:right w:val="none" w:sz="0" w:space="0" w:color="auto"/>
          </w:divBdr>
        </w:div>
        <w:div w:id="1955478374">
          <w:marLeft w:val="0"/>
          <w:marRight w:val="0"/>
          <w:marTop w:val="0"/>
          <w:marBottom w:val="0"/>
          <w:divBdr>
            <w:top w:val="none" w:sz="0" w:space="0" w:color="auto"/>
            <w:left w:val="none" w:sz="0" w:space="0" w:color="auto"/>
            <w:bottom w:val="none" w:sz="0" w:space="0" w:color="auto"/>
            <w:right w:val="none" w:sz="0" w:space="0" w:color="auto"/>
          </w:divBdr>
        </w:div>
        <w:div w:id="1966767091">
          <w:marLeft w:val="0"/>
          <w:marRight w:val="0"/>
          <w:marTop w:val="0"/>
          <w:marBottom w:val="0"/>
          <w:divBdr>
            <w:top w:val="none" w:sz="0" w:space="0" w:color="auto"/>
            <w:left w:val="none" w:sz="0" w:space="0" w:color="auto"/>
            <w:bottom w:val="none" w:sz="0" w:space="0" w:color="auto"/>
            <w:right w:val="none" w:sz="0" w:space="0" w:color="auto"/>
          </w:divBdr>
        </w:div>
        <w:div w:id="2040623772">
          <w:marLeft w:val="0"/>
          <w:marRight w:val="0"/>
          <w:marTop w:val="0"/>
          <w:marBottom w:val="0"/>
          <w:divBdr>
            <w:top w:val="none" w:sz="0" w:space="0" w:color="auto"/>
            <w:left w:val="none" w:sz="0" w:space="0" w:color="auto"/>
            <w:bottom w:val="none" w:sz="0" w:space="0" w:color="auto"/>
            <w:right w:val="none" w:sz="0" w:space="0" w:color="auto"/>
          </w:divBdr>
        </w:div>
        <w:div w:id="2104836763">
          <w:marLeft w:val="0"/>
          <w:marRight w:val="0"/>
          <w:marTop w:val="0"/>
          <w:marBottom w:val="0"/>
          <w:divBdr>
            <w:top w:val="none" w:sz="0" w:space="0" w:color="auto"/>
            <w:left w:val="none" w:sz="0" w:space="0" w:color="auto"/>
            <w:bottom w:val="none" w:sz="0" w:space="0" w:color="auto"/>
            <w:right w:val="none" w:sz="0" w:space="0" w:color="auto"/>
          </w:divBdr>
        </w:div>
      </w:divsChild>
    </w:div>
    <w:div w:id="1833596557">
      <w:bodyDiv w:val="1"/>
      <w:marLeft w:val="0"/>
      <w:marRight w:val="0"/>
      <w:marTop w:val="0"/>
      <w:marBottom w:val="0"/>
      <w:divBdr>
        <w:top w:val="none" w:sz="0" w:space="0" w:color="auto"/>
        <w:left w:val="none" w:sz="0" w:space="0" w:color="auto"/>
        <w:bottom w:val="none" w:sz="0" w:space="0" w:color="auto"/>
        <w:right w:val="none" w:sz="0" w:space="0" w:color="auto"/>
      </w:divBdr>
    </w:div>
    <w:div w:id="2015109919">
      <w:bodyDiv w:val="1"/>
      <w:marLeft w:val="0"/>
      <w:marRight w:val="0"/>
      <w:marTop w:val="0"/>
      <w:marBottom w:val="0"/>
      <w:divBdr>
        <w:top w:val="none" w:sz="0" w:space="0" w:color="auto"/>
        <w:left w:val="none" w:sz="0" w:space="0" w:color="auto"/>
        <w:bottom w:val="none" w:sz="0" w:space="0" w:color="auto"/>
        <w:right w:val="none" w:sz="0" w:space="0" w:color="auto"/>
      </w:divBdr>
      <w:divsChild>
        <w:div w:id="32733494">
          <w:marLeft w:val="0"/>
          <w:marRight w:val="0"/>
          <w:marTop w:val="0"/>
          <w:marBottom w:val="0"/>
          <w:divBdr>
            <w:top w:val="none" w:sz="0" w:space="0" w:color="auto"/>
            <w:left w:val="none" w:sz="0" w:space="0" w:color="auto"/>
            <w:bottom w:val="none" w:sz="0" w:space="0" w:color="auto"/>
            <w:right w:val="none" w:sz="0" w:space="0" w:color="auto"/>
          </w:divBdr>
        </w:div>
        <w:div w:id="84570324">
          <w:marLeft w:val="0"/>
          <w:marRight w:val="0"/>
          <w:marTop w:val="0"/>
          <w:marBottom w:val="0"/>
          <w:divBdr>
            <w:top w:val="none" w:sz="0" w:space="0" w:color="auto"/>
            <w:left w:val="none" w:sz="0" w:space="0" w:color="auto"/>
            <w:bottom w:val="none" w:sz="0" w:space="0" w:color="auto"/>
            <w:right w:val="none" w:sz="0" w:space="0" w:color="auto"/>
          </w:divBdr>
        </w:div>
        <w:div w:id="148982319">
          <w:marLeft w:val="0"/>
          <w:marRight w:val="0"/>
          <w:marTop w:val="0"/>
          <w:marBottom w:val="0"/>
          <w:divBdr>
            <w:top w:val="none" w:sz="0" w:space="0" w:color="auto"/>
            <w:left w:val="none" w:sz="0" w:space="0" w:color="auto"/>
            <w:bottom w:val="none" w:sz="0" w:space="0" w:color="auto"/>
            <w:right w:val="none" w:sz="0" w:space="0" w:color="auto"/>
          </w:divBdr>
        </w:div>
        <w:div w:id="152258858">
          <w:marLeft w:val="0"/>
          <w:marRight w:val="0"/>
          <w:marTop w:val="0"/>
          <w:marBottom w:val="0"/>
          <w:divBdr>
            <w:top w:val="none" w:sz="0" w:space="0" w:color="auto"/>
            <w:left w:val="none" w:sz="0" w:space="0" w:color="auto"/>
            <w:bottom w:val="none" w:sz="0" w:space="0" w:color="auto"/>
            <w:right w:val="none" w:sz="0" w:space="0" w:color="auto"/>
          </w:divBdr>
        </w:div>
        <w:div w:id="290405005">
          <w:marLeft w:val="0"/>
          <w:marRight w:val="0"/>
          <w:marTop w:val="0"/>
          <w:marBottom w:val="0"/>
          <w:divBdr>
            <w:top w:val="none" w:sz="0" w:space="0" w:color="auto"/>
            <w:left w:val="none" w:sz="0" w:space="0" w:color="auto"/>
            <w:bottom w:val="none" w:sz="0" w:space="0" w:color="auto"/>
            <w:right w:val="none" w:sz="0" w:space="0" w:color="auto"/>
          </w:divBdr>
        </w:div>
        <w:div w:id="303314500">
          <w:marLeft w:val="0"/>
          <w:marRight w:val="0"/>
          <w:marTop w:val="0"/>
          <w:marBottom w:val="0"/>
          <w:divBdr>
            <w:top w:val="none" w:sz="0" w:space="0" w:color="auto"/>
            <w:left w:val="none" w:sz="0" w:space="0" w:color="auto"/>
            <w:bottom w:val="none" w:sz="0" w:space="0" w:color="auto"/>
            <w:right w:val="none" w:sz="0" w:space="0" w:color="auto"/>
          </w:divBdr>
        </w:div>
        <w:div w:id="318194587">
          <w:marLeft w:val="0"/>
          <w:marRight w:val="0"/>
          <w:marTop w:val="0"/>
          <w:marBottom w:val="0"/>
          <w:divBdr>
            <w:top w:val="none" w:sz="0" w:space="0" w:color="auto"/>
            <w:left w:val="none" w:sz="0" w:space="0" w:color="auto"/>
            <w:bottom w:val="none" w:sz="0" w:space="0" w:color="auto"/>
            <w:right w:val="none" w:sz="0" w:space="0" w:color="auto"/>
          </w:divBdr>
        </w:div>
        <w:div w:id="450246876">
          <w:marLeft w:val="0"/>
          <w:marRight w:val="0"/>
          <w:marTop w:val="0"/>
          <w:marBottom w:val="0"/>
          <w:divBdr>
            <w:top w:val="none" w:sz="0" w:space="0" w:color="auto"/>
            <w:left w:val="none" w:sz="0" w:space="0" w:color="auto"/>
            <w:bottom w:val="none" w:sz="0" w:space="0" w:color="auto"/>
            <w:right w:val="none" w:sz="0" w:space="0" w:color="auto"/>
          </w:divBdr>
        </w:div>
        <w:div w:id="467818476">
          <w:marLeft w:val="0"/>
          <w:marRight w:val="0"/>
          <w:marTop w:val="0"/>
          <w:marBottom w:val="0"/>
          <w:divBdr>
            <w:top w:val="none" w:sz="0" w:space="0" w:color="auto"/>
            <w:left w:val="none" w:sz="0" w:space="0" w:color="auto"/>
            <w:bottom w:val="none" w:sz="0" w:space="0" w:color="auto"/>
            <w:right w:val="none" w:sz="0" w:space="0" w:color="auto"/>
          </w:divBdr>
        </w:div>
        <w:div w:id="479342797">
          <w:marLeft w:val="0"/>
          <w:marRight w:val="0"/>
          <w:marTop w:val="0"/>
          <w:marBottom w:val="0"/>
          <w:divBdr>
            <w:top w:val="none" w:sz="0" w:space="0" w:color="auto"/>
            <w:left w:val="none" w:sz="0" w:space="0" w:color="auto"/>
            <w:bottom w:val="none" w:sz="0" w:space="0" w:color="auto"/>
            <w:right w:val="none" w:sz="0" w:space="0" w:color="auto"/>
          </w:divBdr>
        </w:div>
        <w:div w:id="493106078">
          <w:marLeft w:val="0"/>
          <w:marRight w:val="0"/>
          <w:marTop w:val="0"/>
          <w:marBottom w:val="0"/>
          <w:divBdr>
            <w:top w:val="none" w:sz="0" w:space="0" w:color="auto"/>
            <w:left w:val="none" w:sz="0" w:space="0" w:color="auto"/>
            <w:bottom w:val="none" w:sz="0" w:space="0" w:color="auto"/>
            <w:right w:val="none" w:sz="0" w:space="0" w:color="auto"/>
          </w:divBdr>
        </w:div>
        <w:div w:id="512035927">
          <w:marLeft w:val="0"/>
          <w:marRight w:val="0"/>
          <w:marTop w:val="0"/>
          <w:marBottom w:val="0"/>
          <w:divBdr>
            <w:top w:val="none" w:sz="0" w:space="0" w:color="auto"/>
            <w:left w:val="none" w:sz="0" w:space="0" w:color="auto"/>
            <w:bottom w:val="none" w:sz="0" w:space="0" w:color="auto"/>
            <w:right w:val="none" w:sz="0" w:space="0" w:color="auto"/>
          </w:divBdr>
        </w:div>
        <w:div w:id="585655071">
          <w:marLeft w:val="0"/>
          <w:marRight w:val="0"/>
          <w:marTop w:val="0"/>
          <w:marBottom w:val="0"/>
          <w:divBdr>
            <w:top w:val="none" w:sz="0" w:space="0" w:color="auto"/>
            <w:left w:val="none" w:sz="0" w:space="0" w:color="auto"/>
            <w:bottom w:val="none" w:sz="0" w:space="0" w:color="auto"/>
            <w:right w:val="none" w:sz="0" w:space="0" w:color="auto"/>
          </w:divBdr>
        </w:div>
        <w:div w:id="603924332">
          <w:marLeft w:val="0"/>
          <w:marRight w:val="0"/>
          <w:marTop w:val="0"/>
          <w:marBottom w:val="0"/>
          <w:divBdr>
            <w:top w:val="none" w:sz="0" w:space="0" w:color="auto"/>
            <w:left w:val="none" w:sz="0" w:space="0" w:color="auto"/>
            <w:bottom w:val="none" w:sz="0" w:space="0" w:color="auto"/>
            <w:right w:val="none" w:sz="0" w:space="0" w:color="auto"/>
          </w:divBdr>
        </w:div>
        <w:div w:id="654577169">
          <w:marLeft w:val="0"/>
          <w:marRight w:val="0"/>
          <w:marTop w:val="0"/>
          <w:marBottom w:val="0"/>
          <w:divBdr>
            <w:top w:val="none" w:sz="0" w:space="0" w:color="auto"/>
            <w:left w:val="none" w:sz="0" w:space="0" w:color="auto"/>
            <w:bottom w:val="none" w:sz="0" w:space="0" w:color="auto"/>
            <w:right w:val="none" w:sz="0" w:space="0" w:color="auto"/>
          </w:divBdr>
        </w:div>
        <w:div w:id="715201755">
          <w:marLeft w:val="0"/>
          <w:marRight w:val="0"/>
          <w:marTop w:val="0"/>
          <w:marBottom w:val="0"/>
          <w:divBdr>
            <w:top w:val="none" w:sz="0" w:space="0" w:color="auto"/>
            <w:left w:val="none" w:sz="0" w:space="0" w:color="auto"/>
            <w:bottom w:val="none" w:sz="0" w:space="0" w:color="auto"/>
            <w:right w:val="none" w:sz="0" w:space="0" w:color="auto"/>
          </w:divBdr>
        </w:div>
        <w:div w:id="744492836">
          <w:marLeft w:val="0"/>
          <w:marRight w:val="0"/>
          <w:marTop w:val="0"/>
          <w:marBottom w:val="0"/>
          <w:divBdr>
            <w:top w:val="none" w:sz="0" w:space="0" w:color="auto"/>
            <w:left w:val="none" w:sz="0" w:space="0" w:color="auto"/>
            <w:bottom w:val="none" w:sz="0" w:space="0" w:color="auto"/>
            <w:right w:val="none" w:sz="0" w:space="0" w:color="auto"/>
          </w:divBdr>
        </w:div>
        <w:div w:id="762530456">
          <w:marLeft w:val="0"/>
          <w:marRight w:val="0"/>
          <w:marTop w:val="0"/>
          <w:marBottom w:val="0"/>
          <w:divBdr>
            <w:top w:val="none" w:sz="0" w:space="0" w:color="auto"/>
            <w:left w:val="none" w:sz="0" w:space="0" w:color="auto"/>
            <w:bottom w:val="none" w:sz="0" w:space="0" w:color="auto"/>
            <w:right w:val="none" w:sz="0" w:space="0" w:color="auto"/>
          </w:divBdr>
        </w:div>
        <w:div w:id="769279504">
          <w:marLeft w:val="0"/>
          <w:marRight w:val="0"/>
          <w:marTop w:val="0"/>
          <w:marBottom w:val="0"/>
          <w:divBdr>
            <w:top w:val="none" w:sz="0" w:space="0" w:color="auto"/>
            <w:left w:val="none" w:sz="0" w:space="0" w:color="auto"/>
            <w:bottom w:val="none" w:sz="0" w:space="0" w:color="auto"/>
            <w:right w:val="none" w:sz="0" w:space="0" w:color="auto"/>
          </w:divBdr>
        </w:div>
        <w:div w:id="941496543">
          <w:marLeft w:val="0"/>
          <w:marRight w:val="0"/>
          <w:marTop w:val="0"/>
          <w:marBottom w:val="0"/>
          <w:divBdr>
            <w:top w:val="none" w:sz="0" w:space="0" w:color="auto"/>
            <w:left w:val="none" w:sz="0" w:space="0" w:color="auto"/>
            <w:bottom w:val="none" w:sz="0" w:space="0" w:color="auto"/>
            <w:right w:val="none" w:sz="0" w:space="0" w:color="auto"/>
          </w:divBdr>
        </w:div>
        <w:div w:id="947196695">
          <w:marLeft w:val="0"/>
          <w:marRight w:val="0"/>
          <w:marTop w:val="0"/>
          <w:marBottom w:val="0"/>
          <w:divBdr>
            <w:top w:val="none" w:sz="0" w:space="0" w:color="auto"/>
            <w:left w:val="none" w:sz="0" w:space="0" w:color="auto"/>
            <w:bottom w:val="none" w:sz="0" w:space="0" w:color="auto"/>
            <w:right w:val="none" w:sz="0" w:space="0" w:color="auto"/>
          </w:divBdr>
        </w:div>
        <w:div w:id="998193645">
          <w:marLeft w:val="0"/>
          <w:marRight w:val="0"/>
          <w:marTop w:val="0"/>
          <w:marBottom w:val="0"/>
          <w:divBdr>
            <w:top w:val="none" w:sz="0" w:space="0" w:color="auto"/>
            <w:left w:val="none" w:sz="0" w:space="0" w:color="auto"/>
            <w:bottom w:val="none" w:sz="0" w:space="0" w:color="auto"/>
            <w:right w:val="none" w:sz="0" w:space="0" w:color="auto"/>
          </w:divBdr>
        </w:div>
        <w:div w:id="1018434169">
          <w:marLeft w:val="0"/>
          <w:marRight w:val="0"/>
          <w:marTop w:val="0"/>
          <w:marBottom w:val="0"/>
          <w:divBdr>
            <w:top w:val="none" w:sz="0" w:space="0" w:color="auto"/>
            <w:left w:val="none" w:sz="0" w:space="0" w:color="auto"/>
            <w:bottom w:val="none" w:sz="0" w:space="0" w:color="auto"/>
            <w:right w:val="none" w:sz="0" w:space="0" w:color="auto"/>
          </w:divBdr>
        </w:div>
        <w:div w:id="1060639114">
          <w:marLeft w:val="0"/>
          <w:marRight w:val="0"/>
          <w:marTop w:val="0"/>
          <w:marBottom w:val="0"/>
          <w:divBdr>
            <w:top w:val="none" w:sz="0" w:space="0" w:color="auto"/>
            <w:left w:val="none" w:sz="0" w:space="0" w:color="auto"/>
            <w:bottom w:val="none" w:sz="0" w:space="0" w:color="auto"/>
            <w:right w:val="none" w:sz="0" w:space="0" w:color="auto"/>
          </w:divBdr>
        </w:div>
        <w:div w:id="1080978864">
          <w:marLeft w:val="0"/>
          <w:marRight w:val="0"/>
          <w:marTop w:val="0"/>
          <w:marBottom w:val="0"/>
          <w:divBdr>
            <w:top w:val="none" w:sz="0" w:space="0" w:color="auto"/>
            <w:left w:val="none" w:sz="0" w:space="0" w:color="auto"/>
            <w:bottom w:val="none" w:sz="0" w:space="0" w:color="auto"/>
            <w:right w:val="none" w:sz="0" w:space="0" w:color="auto"/>
          </w:divBdr>
        </w:div>
        <w:div w:id="1135566592">
          <w:marLeft w:val="0"/>
          <w:marRight w:val="0"/>
          <w:marTop w:val="0"/>
          <w:marBottom w:val="0"/>
          <w:divBdr>
            <w:top w:val="none" w:sz="0" w:space="0" w:color="auto"/>
            <w:left w:val="none" w:sz="0" w:space="0" w:color="auto"/>
            <w:bottom w:val="none" w:sz="0" w:space="0" w:color="auto"/>
            <w:right w:val="none" w:sz="0" w:space="0" w:color="auto"/>
          </w:divBdr>
        </w:div>
        <w:div w:id="1141926522">
          <w:marLeft w:val="0"/>
          <w:marRight w:val="0"/>
          <w:marTop w:val="0"/>
          <w:marBottom w:val="0"/>
          <w:divBdr>
            <w:top w:val="none" w:sz="0" w:space="0" w:color="auto"/>
            <w:left w:val="none" w:sz="0" w:space="0" w:color="auto"/>
            <w:bottom w:val="none" w:sz="0" w:space="0" w:color="auto"/>
            <w:right w:val="none" w:sz="0" w:space="0" w:color="auto"/>
          </w:divBdr>
        </w:div>
        <w:div w:id="1163669461">
          <w:marLeft w:val="0"/>
          <w:marRight w:val="0"/>
          <w:marTop w:val="0"/>
          <w:marBottom w:val="0"/>
          <w:divBdr>
            <w:top w:val="none" w:sz="0" w:space="0" w:color="auto"/>
            <w:left w:val="none" w:sz="0" w:space="0" w:color="auto"/>
            <w:bottom w:val="none" w:sz="0" w:space="0" w:color="auto"/>
            <w:right w:val="none" w:sz="0" w:space="0" w:color="auto"/>
          </w:divBdr>
        </w:div>
        <w:div w:id="1246302119">
          <w:marLeft w:val="0"/>
          <w:marRight w:val="0"/>
          <w:marTop w:val="0"/>
          <w:marBottom w:val="0"/>
          <w:divBdr>
            <w:top w:val="none" w:sz="0" w:space="0" w:color="auto"/>
            <w:left w:val="none" w:sz="0" w:space="0" w:color="auto"/>
            <w:bottom w:val="none" w:sz="0" w:space="0" w:color="auto"/>
            <w:right w:val="none" w:sz="0" w:space="0" w:color="auto"/>
          </w:divBdr>
        </w:div>
        <w:div w:id="1274361067">
          <w:marLeft w:val="0"/>
          <w:marRight w:val="0"/>
          <w:marTop w:val="0"/>
          <w:marBottom w:val="0"/>
          <w:divBdr>
            <w:top w:val="none" w:sz="0" w:space="0" w:color="auto"/>
            <w:left w:val="none" w:sz="0" w:space="0" w:color="auto"/>
            <w:bottom w:val="none" w:sz="0" w:space="0" w:color="auto"/>
            <w:right w:val="none" w:sz="0" w:space="0" w:color="auto"/>
          </w:divBdr>
        </w:div>
        <w:div w:id="1348865674">
          <w:marLeft w:val="0"/>
          <w:marRight w:val="0"/>
          <w:marTop w:val="0"/>
          <w:marBottom w:val="0"/>
          <w:divBdr>
            <w:top w:val="none" w:sz="0" w:space="0" w:color="auto"/>
            <w:left w:val="none" w:sz="0" w:space="0" w:color="auto"/>
            <w:bottom w:val="none" w:sz="0" w:space="0" w:color="auto"/>
            <w:right w:val="none" w:sz="0" w:space="0" w:color="auto"/>
          </w:divBdr>
        </w:div>
        <w:div w:id="1363743943">
          <w:marLeft w:val="0"/>
          <w:marRight w:val="0"/>
          <w:marTop w:val="0"/>
          <w:marBottom w:val="0"/>
          <w:divBdr>
            <w:top w:val="none" w:sz="0" w:space="0" w:color="auto"/>
            <w:left w:val="none" w:sz="0" w:space="0" w:color="auto"/>
            <w:bottom w:val="none" w:sz="0" w:space="0" w:color="auto"/>
            <w:right w:val="none" w:sz="0" w:space="0" w:color="auto"/>
          </w:divBdr>
        </w:div>
        <w:div w:id="1438718524">
          <w:marLeft w:val="0"/>
          <w:marRight w:val="0"/>
          <w:marTop w:val="0"/>
          <w:marBottom w:val="0"/>
          <w:divBdr>
            <w:top w:val="none" w:sz="0" w:space="0" w:color="auto"/>
            <w:left w:val="none" w:sz="0" w:space="0" w:color="auto"/>
            <w:bottom w:val="none" w:sz="0" w:space="0" w:color="auto"/>
            <w:right w:val="none" w:sz="0" w:space="0" w:color="auto"/>
          </w:divBdr>
        </w:div>
        <w:div w:id="1446077607">
          <w:marLeft w:val="0"/>
          <w:marRight w:val="0"/>
          <w:marTop w:val="0"/>
          <w:marBottom w:val="0"/>
          <w:divBdr>
            <w:top w:val="none" w:sz="0" w:space="0" w:color="auto"/>
            <w:left w:val="none" w:sz="0" w:space="0" w:color="auto"/>
            <w:bottom w:val="none" w:sz="0" w:space="0" w:color="auto"/>
            <w:right w:val="none" w:sz="0" w:space="0" w:color="auto"/>
          </w:divBdr>
        </w:div>
        <w:div w:id="1446459245">
          <w:marLeft w:val="0"/>
          <w:marRight w:val="0"/>
          <w:marTop w:val="0"/>
          <w:marBottom w:val="0"/>
          <w:divBdr>
            <w:top w:val="none" w:sz="0" w:space="0" w:color="auto"/>
            <w:left w:val="none" w:sz="0" w:space="0" w:color="auto"/>
            <w:bottom w:val="none" w:sz="0" w:space="0" w:color="auto"/>
            <w:right w:val="none" w:sz="0" w:space="0" w:color="auto"/>
          </w:divBdr>
        </w:div>
        <w:div w:id="1513059982">
          <w:marLeft w:val="0"/>
          <w:marRight w:val="0"/>
          <w:marTop w:val="0"/>
          <w:marBottom w:val="0"/>
          <w:divBdr>
            <w:top w:val="none" w:sz="0" w:space="0" w:color="auto"/>
            <w:left w:val="none" w:sz="0" w:space="0" w:color="auto"/>
            <w:bottom w:val="none" w:sz="0" w:space="0" w:color="auto"/>
            <w:right w:val="none" w:sz="0" w:space="0" w:color="auto"/>
          </w:divBdr>
        </w:div>
        <w:div w:id="1526358280">
          <w:marLeft w:val="0"/>
          <w:marRight w:val="0"/>
          <w:marTop w:val="0"/>
          <w:marBottom w:val="0"/>
          <w:divBdr>
            <w:top w:val="none" w:sz="0" w:space="0" w:color="auto"/>
            <w:left w:val="none" w:sz="0" w:space="0" w:color="auto"/>
            <w:bottom w:val="none" w:sz="0" w:space="0" w:color="auto"/>
            <w:right w:val="none" w:sz="0" w:space="0" w:color="auto"/>
          </w:divBdr>
        </w:div>
        <w:div w:id="1566990416">
          <w:marLeft w:val="0"/>
          <w:marRight w:val="0"/>
          <w:marTop w:val="0"/>
          <w:marBottom w:val="0"/>
          <w:divBdr>
            <w:top w:val="none" w:sz="0" w:space="0" w:color="auto"/>
            <w:left w:val="none" w:sz="0" w:space="0" w:color="auto"/>
            <w:bottom w:val="none" w:sz="0" w:space="0" w:color="auto"/>
            <w:right w:val="none" w:sz="0" w:space="0" w:color="auto"/>
          </w:divBdr>
        </w:div>
        <w:div w:id="1584795478">
          <w:marLeft w:val="0"/>
          <w:marRight w:val="0"/>
          <w:marTop w:val="0"/>
          <w:marBottom w:val="0"/>
          <w:divBdr>
            <w:top w:val="none" w:sz="0" w:space="0" w:color="auto"/>
            <w:left w:val="none" w:sz="0" w:space="0" w:color="auto"/>
            <w:bottom w:val="none" w:sz="0" w:space="0" w:color="auto"/>
            <w:right w:val="none" w:sz="0" w:space="0" w:color="auto"/>
          </w:divBdr>
        </w:div>
        <w:div w:id="1630165758">
          <w:marLeft w:val="0"/>
          <w:marRight w:val="0"/>
          <w:marTop w:val="0"/>
          <w:marBottom w:val="0"/>
          <w:divBdr>
            <w:top w:val="none" w:sz="0" w:space="0" w:color="auto"/>
            <w:left w:val="none" w:sz="0" w:space="0" w:color="auto"/>
            <w:bottom w:val="none" w:sz="0" w:space="0" w:color="auto"/>
            <w:right w:val="none" w:sz="0" w:space="0" w:color="auto"/>
          </w:divBdr>
        </w:div>
        <w:div w:id="1698115239">
          <w:marLeft w:val="0"/>
          <w:marRight w:val="0"/>
          <w:marTop w:val="0"/>
          <w:marBottom w:val="0"/>
          <w:divBdr>
            <w:top w:val="none" w:sz="0" w:space="0" w:color="auto"/>
            <w:left w:val="none" w:sz="0" w:space="0" w:color="auto"/>
            <w:bottom w:val="none" w:sz="0" w:space="0" w:color="auto"/>
            <w:right w:val="none" w:sz="0" w:space="0" w:color="auto"/>
          </w:divBdr>
        </w:div>
        <w:div w:id="1721589834">
          <w:marLeft w:val="0"/>
          <w:marRight w:val="0"/>
          <w:marTop w:val="0"/>
          <w:marBottom w:val="0"/>
          <w:divBdr>
            <w:top w:val="none" w:sz="0" w:space="0" w:color="auto"/>
            <w:left w:val="none" w:sz="0" w:space="0" w:color="auto"/>
            <w:bottom w:val="none" w:sz="0" w:space="0" w:color="auto"/>
            <w:right w:val="none" w:sz="0" w:space="0" w:color="auto"/>
          </w:divBdr>
        </w:div>
        <w:div w:id="1774082637">
          <w:marLeft w:val="0"/>
          <w:marRight w:val="0"/>
          <w:marTop w:val="0"/>
          <w:marBottom w:val="0"/>
          <w:divBdr>
            <w:top w:val="none" w:sz="0" w:space="0" w:color="auto"/>
            <w:left w:val="none" w:sz="0" w:space="0" w:color="auto"/>
            <w:bottom w:val="none" w:sz="0" w:space="0" w:color="auto"/>
            <w:right w:val="none" w:sz="0" w:space="0" w:color="auto"/>
          </w:divBdr>
        </w:div>
        <w:div w:id="1815412900">
          <w:marLeft w:val="0"/>
          <w:marRight w:val="0"/>
          <w:marTop w:val="0"/>
          <w:marBottom w:val="0"/>
          <w:divBdr>
            <w:top w:val="none" w:sz="0" w:space="0" w:color="auto"/>
            <w:left w:val="none" w:sz="0" w:space="0" w:color="auto"/>
            <w:bottom w:val="none" w:sz="0" w:space="0" w:color="auto"/>
            <w:right w:val="none" w:sz="0" w:space="0" w:color="auto"/>
          </w:divBdr>
        </w:div>
        <w:div w:id="1841846512">
          <w:marLeft w:val="0"/>
          <w:marRight w:val="0"/>
          <w:marTop w:val="0"/>
          <w:marBottom w:val="0"/>
          <w:divBdr>
            <w:top w:val="none" w:sz="0" w:space="0" w:color="auto"/>
            <w:left w:val="none" w:sz="0" w:space="0" w:color="auto"/>
            <w:bottom w:val="none" w:sz="0" w:space="0" w:color="auto"/>
            <w:right w:val="none" w:sz="0" w:space="0" w:color="auto"/>
          </w:divBdr>
        </w:div>
        <w:div w:id="1859271715">
          <w:marLeft w:val="0"/>
          <w:marRight w:val="0"/>
          <w:marTop w:val="0"/>
          <w:marBottom w:val="0"/>
          <w:divBdr>
            <w:top w:val="none" w:sz="0" w:space="0" w:color="auto"/>
            <w:left w:val="none" w:sz="0" w:space="0" w:color="auto"/>
            <w:bottom w:val="none" w:sz="0" w:space="0" w:color="auto"/>
            <w:right w:val="none" w:sz="0" w:space="0" w:color="auto"/>
          </w:divBdr>
        </w:div>
        <w:div w:id="1867714683">
          <w:marLeft w:val="0"/>
          <w:marRight w:val="0"/>
          <w:marTop w:val="0"/>
          <w:marBottom w:val="0"/>
          <w:divBdr>
            <w:top w:val="none" w:sz="0" w:space="0" w:color="auto"/>
            <w:left w:val="none" w:sz="0" w:space="0" w:color="auto"/>
            <w:bottom w:val="none" w:sz="0" w:space="0" w:color="auto"/>
            <w:right w:val="none" w:sz="0" w:space="0" w:color="auto"/>
          </w:divBdr>
        </w:div>
        <w:div w:id="1872839541">
          <w:marLeft w:val="0"/>
          <w:marRight w:val="0"/>
          <w:marTop w:val="0"/>
          <w:marBottom w:val="0"/>
          <w:divBdr>
            <w:top w:val="none" w:sz="0" w:space="0" w:color="auto"/>
            <w:left w:val="none" w:sz="0" w:space="0" w:color="auto"/>
            <w:bottom w:val="none" w:sz="0" w:space="0" w:color="auto"/>
            <w:right w:val="none" w:sz="0" w:space="0" w:color="auto"/>
          </w:divBdr>
        </w:div>
        <w:div w:id="1884898852">
          <w:marLeft w:val="0"/>
          <w:marRight w:val="0"/>
          <w:marTop w:val="0"/>
          <w:marBottom w:val="0"/>
          <w:divBdr>
            <w:top w:val="none" w:sz="0" w:space="0" w:color="auto"/>
            <w:left w:val="none" w:sz="0" w:space="0" w:color="auto"/>
            <w:bottom w:val="none" w:sz="0" w:space="0" w:color="auto"/>
            <w:right w:val="none" w:sz="0" w:space="0" w:color="auto"/>
          </w:divBdr>
        </w:div>
        <w:div w:id="1927759616">
          <w:marLeft w:val="0"/>
          <w:marRight w:val="0"/>
          <w:marTop w:val="0"/>
          <w:marBottom w:val="0"/>
          <w:divBdr>
            <w:top w:val="none" w:sz="0" w:space="0" w:color="auto"/>
            <w:left w:val="none" w:sz="0" w:space="0" w:color="auto"/>
            <w:bottom w:val="none" w:sz="0" w:space="0" w:color="auto"/>
            <w:right w:val="none" w:sz="0" w:space="0" w:color="auto"/>
          </w:divBdr>
        </w:div>
        <w:div w:id="1940794595">
          <w:marLeft w:val="0"/>
          <w:marRight w:val="0"/>
          <w:marTop w:val="0"/>
          <w:marBottom w:val="0"/>
          <w:divBdr>
            <w:top w:val="none" w:sz="0" w:space="0" w:color="auto"/>
            <w:left w:val="none" w:sz="0" w:space="0" w:color="auto"/>
            <w:bottom w:val="none" w:sz="0" w:space="0" w:color="auto"/>
            <w:right w:val="none" w:sz="0" w:space="0" w:color="auto"/>
          </w:divBdr>
        </w:div>
        <w:div w:id="1952010868">
          <w:marLeft w:val="0"/>
          <w:marRight w:val="0"/>
          <w:marTop w:val="0"/>
          <w:marBottom w:val="0"/>
          <w:divBdr>
            <w:top w:val="none" w:sz="0" w:space="0" w:color="auto"/>
            <w:left w:val="none" w:sz="0" w:space="0" w:color="auto"/>
            <w:bottom w:val="none" w:sz="0" w:space="0" w:color="auto"/>
            <w:right w:val="none" w:sz="0" w:space="0" w:color="auto"/>
          </w:divBdr>
        </w:div>
        <w:div w:id="1958026624">
          <w:marLeft w:val="0"/>
          <w:marRight w:val="0"/>
          <w:marTop w:val="0"/>
          <w:marBottom w:val="0"/>
          <w:divBdr>
            <w:top w:val="none" w:sz="0" w:space="0" w:color="auto"/>
            <w:left w:val="none" w:sz="0" w:space="0" w:color="auto"/>
            <w:bottom w:val="none" w:sz="0" w:space="0" w:color="auto"/>
            <w:right w:val="none" w:sz="0" w:space="0" w:color="auto"/>
          </w:divBdr>
        </w:div>
        <w:div w:id="1962762602">
          <w:marLeft w:val="0"/>
          <w:marRight w:val="0"/>
          <w:marTop w:val="0"/>
          <w:marBottom w:val="0"/>
          <w:divBdr>
            <w:top w:val="none" w:sz="0" w:space="0" w:color="auto"/>
            <w:left w:val="none" w:sz="0" w:space="0" w:color="auto"/>
            <w:bottom w:val="none" w:sz="0" w:space="0" w:color="auto"/>
            <w:right w:val="none" w:sz="0" w:space="0" w:color="auto"/>
          </w:divBdr>
        </w:div>
        <w:div w:id="1995260722">
          <w:marLeft w:val="0"/>
          <w:marRight w:val="0"/>
          <w:marTop w:val="0"/>
          <w:marBottom w:val="0"/>
          <w:divBdr>
            <w:top w:val="none" w:sz="0" w:space="0" w:color="auto"/>
            <w:left w:val="none" w:sz="0" w:space="0" w:color="auto"/>
            <w:bottom w:val="none" w:sz="0" w:space="0" w:color="auto"/>
            <w:right w:val="none" w:sz="0" w:space="0" w:color="auto"/>
          </w:divBdr>
        </w:div>
        <w:div w:id="2067604889">
          <w:marLeft w:val="0"/>
          <w:marRight w:val="0"/>
          <w:marTop w:val="0"/>
          <w:marBottom w:val="0"/>
          <w:divBdr>
            <w:top w:val="none" w:sz="0" w:space="0" w:color="auto"/>
            <w:left w:val="none" w:sz="0" w:space="0" w:color="auto"/>
            <w:bottom w:val="none" w:sz="0" w:space="0" w:color="auto"/>
            <w:right w:val="none" w:sz="0" w:space="0" w:color="auto"/>
          </w:divBdr>
        </w:div>
      </w:divsChild>
    </w:div>
    <w:div w:id="2056729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scholar.google.com/citations?user=bwiNxDQAAAAJ" TargetMode="External"/><Relationship Id="rId26" Type="http://schemas.openxmlformats.org/officeDocument/2006/relationships/hyperlink" Target="https://orcid.org/0000-0003-2838-8679" TargetMode="External"/><Relationship Id="rId39" Type="http://schemas.openxmlformats.org/officeDocument/2006/relationships/footer" Target="footer1.xml"/><Relationship Id="rId21" Type="http://schemas.openxmlformats.org/officeDocument/2006/relationships/image" Target="media/image8.png"/><Relationship Id="rId34" Type="http://schemas.openxmlformats.org/officeDocument/2006/relationships/hyperlink" Target="https://scholar.google.com/citations?hl=en&amp;user=646RieYAAAAJ" TargetMode="External"/><Relationship Id="rId42"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orcid.org/0000-0001-9902-7729" TargetMode="External"/><Relationship Id="rId20" Type="http://schemas.openxmlformats.org/officeDocument/2006/relationships/hyperlink" Target="https://www.scopus.com/authid/detail.uri?authorId=6508110941" TargetMode="External"/><Relationship Id="rId29" Type="http://schemas.openxmlformats.org/officeDocument/2006/relationships/hyperlink" Target="https://www.scopus.com/authid/detail.uri?authorId=35730929200" TargetMode="External"/><Relationship Id="rId4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0.png"/><Relationship Id="rId32" Type="http://schemas.openxmlformats.org/officeDocument/2006/relationships/image" Target="media/image12.jpeg"/><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emf"/><Relationship Id="rId23" Type="http://schemas.openxmlformats.org/officeDocument/2006/relationships/hyperlink" Target="https://publons.com/researcher/3133629/suttichai-premrudeepreechacharn/" TargetMode="External"/><Relationship Id="rId28" Type="http://schemas.openxmlformats.org/officeDocument/2006/relationships/hyperlink" Target="https://scholar.google.co.id/citations?user=o0Ap5ecAAAAJ" TargetMode="External"/><Relationship Id="rId36" Type="http://schemas.openxmlformats.org/officeDocument/2006/relationships/hyperlink" Target="https://publons.com/researcher/2894894/almoataz-y-abdelaziz/" TargetMode="External"/><Relationship Id="rId10" Type="http://schemas.openxmlformats.org/officeDocument/2006/relationships/image" Target="media/image2.emf"/><Relationship Id="rId19" Type="http://schemas.openxmlformats.org/officeDocument/2006/relationships/image" Target="media/image7.png"/><Relationship Id="rId31" Type="http://schemas.openxmlformats.org/officeDocument/2006/relationships/hyperlink" Target="https://publons.com/researcher/1170442/dr-angela-amphawan/"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microsoft.com/office/2007/relationships/hdphoto" Target="media/hdphoto2.wdp"/><Relationship Id="rId22" Type="http://schemas.openxmlformats.org/officeDocument/2006/relationships/image" Target="media/image9.svg"/><Relationship Id="rId27" Type="http://schemas.openxmlformats.org/officeDocument/2006/relationships/hyperlink" Target="https://scholar.google.com/citations?user=kdOwHMIAAAAJ&amp;hl=en&amp;oi=sra" TargetMode="External"/><Relationship Id="rId30" Type="http://schemas.openxmlformats.org/officeDocument/2006/relationships/hyperlink" Target="https://www.scopus.com/authid/detail.uri?authorId=36815724000" TargetMode="External"/><Relationship Id="rId35" Type="http://schemas.openxmlformats.org/officeDocument/2006/relationships/hyperlink" Target="https://www.scopus.com/authid/detail.uri?authorId=7003870872" TargetMode="External"/><Relationship Id="rId43" Type="http://schemas.openxmlformats.org/officeDocument/2006/relationships/fontTable" Target="fontTable.xml"/><Relationship Id="rId8" Type="http://schemas.openxmlformats.org/officeDocument/2006/relationships/hyperlink" Target="https://creativecommons.org/licenses/by-sa/4.0/" TargetMode="External"/><Relationship Id="rId3" Type="http://schemas.openxmlformats.org/officeDocument/2006/relationships/styles" Target="styles.xml"/><Relationship Id="rId12" Type="http://schemas.microsoft.com/office/2007/relationships/hdphoto" Target="media/hdphoto1.wdp"/><Relationship Id="rId17" Type="http://schemas.openxmlformats.org/officeDocument/2006/relationships/image" Target="media/image6.png"/><Relationship Id="rId25" Type="http://schemas.openxmlformats.org/officeDocument/2006/relationships/image" Target="media/image11.jpeg"/><Relationship Id="rId33" Type="http://schemas.openxmlformats.org/officeDocument/2006/relationships/hyperlink" Target="https://orcid.org/0000-0001-5903-5257" TargetMode="External"/><Relationship Id="rId38" Type="http://schemas.openxmlformats.org/officeDocument/2006/relationships/header" Target="header2.xml"/><Relationship Id="rId201" Type="http://schemas.openxmlformats.org/officeDocument/2006/relationships/image" Target="media/fig_method_flow.png"/><Relationship Id="rId202" Type="http://schemas.openxmlformats.org/officeDocument/2006/relationships/image" Target="media/main_result_roc.png"/><Relationship Id="rId203" Type="http://schemas.openxmlformats.org/officeDocument/2006/relationships/image" Target="media/auc_by_model_scenario.png"/><Relationship Id="rId204" Type="http://schemas.openxmlformats.org/officeDocument/2006/relationships/image" Target="media/fig_permutation_importance_en.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AF6F19-2AB0-4E98-948B-2BADE31314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1276</TotalTime>
  <Pages>8</Pages>
  <Words>15094</Words>
  <Characters>83021</Characters>
  <Application>Microsoft Office Word</Application>
  <DocSecurity>0</DocSecurity>
  <Lines>2075</Lines>
  <Paragraphs>1066</Paragraphs>
  <ScaleCrop>false</ScaleCrop>
  <HeadingPairs>
    <vt:vector size="2" baseType="variant">
      <vt:variant>
        <vt:lpstr>Title</vt:lpstr>
      </vt:variant>
      <vt:variant>
        <vt:i4>1</vt:i4>
      </vt:variant>
    </vt:vector>
  </HeadingPairs>
  <TitlesOfParts>
    <vt:vector size="1" baseType="lpstr">
      <vt:lpstr>International Journal of Electrical and Computer Engineering (IJECE)</vt:lpstr>
    </vt:vector>
  </TitlesOfParts>
  <Company>IAES | Institute of Advanced Engineering and Science</Company>
  <LinksUpToDate>false</LinksUpToDate>
  <CharactersWithSpaces>97049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International Journal of Electrical and Computer Engineering (IJECE)</dc:title>
  <dc:creator>IJECE</dc:creator>
  <cp:keywords>artificial intelligence &amp; soft computing; automation; big data &amp; cloud computing; circuits &amp; electronics; computer science &amp; information technology; digital signal; electrical &amp; power engineering; image &amp; video processing; instrumentation &amp; control engineering; internet of things; power electronics &amp; drives; telecommunication system &amp; technology;</cp:keywords>
  <dc:description>IJECE Template and Guide of Authors</dc:description>
  <cp:lastModifiedBy>ONE PC</cp:lastModifiedBy>
  <cp:revision>105</cp:revision>
  <cp:lastPrinted>2021-08-31T02:39:00Z</cp:lastPrinted>
  <dcterms:created xsi:type="dcterms:W3CDTF">2021-04-05T07:37:00Z</dcterms:created>
  <dcterms:modified xsi:type="dcterms:W3CDTF">2025-03-13T01:42:00Z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a9bfc6adc827b986073dca98e1af3bd5bffb2178019f3743b8992a92461cb2e4</vt:lpwstr>
  </property>
</Properties>
</file>