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Times New Roman" w:hAnsi="Times New Roman" w:cs="Times New Roman"/>
          <w:b/>
          <w:bCs/>
          <w:iCs/>
          <w:kern w:val="2"/>
          <w:sz w:val="28"/>
          <w:szCs w:val="20"/>
          <w:lang w:val="en-US" w:eastAsia="en-US"/>
        </w:rPr>
      </w:pPr>
      <w:r>
        <w:rPr>
          <w:rFonts w:ascii="Times New Roman" w:hAnsi="Times New Roman"/>
          <w:b/>
          <w:sz w:val="28"/>
        </w:rPr>
        <w:t>Deteksi Anomali Hibrida Aturan–Pembelajaran Mesin pada Data Pajak Kendaraan SAMSAT</w:t>
      </w:r>
    </w:p>
    <w:p>
      <w:pPr>
        <w:pStyle w:val="Normal"/>
        <w:spacing w:lineRule="auto" w:line="240" w:before="0" w:after="0"/>
        <w:jc w:val="center"/>
        <w:rPr>
          <w:rFonts w:ascii="Times New Roman" w:hAnsi="Times New Roman" w:cs="Times New Roman"/>
          <w:b/>
          <w:bCs/>
          <w:iCs/>
          <w:caps/>
          <w:kern w:val="2"/>
          <w:sz w:val="20"/>
          <w:szCs w:val="20"/>
          <w:lang w:val="en-US" w:eastAsia="en-US"/>
        </w:rPr>
      </w:pPr>
      <w:r>
        <w:rPr>
          <w:rFonts w:cs="Times New Roman" w:ascii="Times New Roman" w:hAnsi="Times New Roman"/>
          <w:b/>
          <w:bCs/>
          <w:iCs/>
          <w:caps/>
          <w:kern w:val="2"/>
          <w:sz w:val="20"/>
          <w:szCs w:val="20"/>
          <w:lang w:val="en-US" w:eastAsia="en-US"/>
        </w:rPr>
      </w:r>
    </w:p>
    <w:p>
      <w:pPr>
        <w:pStyle w:val="Normal"/>
        <w:spacing w:lineRule="auto" w:line="240" w:before="0" w:after="0"/>
        <w:jc w:val="center"/>
        <w:rPr/>
      </w:pPr>
      <w:r>
        <w:rPr>
          <w:rFonts w:ascii="Times New Roman" w:hAnsi="Times New Roman"/>
          <w:b w:val="0"/>
          <w:sz w:val="20"/>
        </w:rPr>
      </w:r>
    </w:p>
    <w:p>
      <w:pPr>
        <w:pStyle w:val="Normal"/>
        <w:tabs>
          <w:tab w:val="clear" w:pos="720"/>
          <w:tab w:val="left" w:pos="-2250" w:leader="none"/>
        </w:tabs>
        <w:autoSpaceDE w:val="false"/>
        <w:spacing w:lineRule="auto" w:line="240" w:before="0" w:after="0"/>
        <w:jc w:val="center"/>
        <w:rPr>
          <w:rFonts w:ascii="Times New Roman" w:hAnsi="Times New Roman" w:eastAsia="Arial Unicode MS" w:cs="Times New Roman"/>
          <w:kern w:val="2"/>
          <w:sz w:val="20"/>
          <w:szCs w:val="20"/>
          <w:lang w:val="en-US" w:eastAsia="en-US"/>
        </w:rPr>
      </w:pPr>
      <w:r>
        <w:rPr>
          <w:rFonts w:ascii="Times New Roman" w:hAnsi="Times New Roman"/>
          <w:b w:val="0"/>
          <w:sz w:val="20"/>
        </w:rPr>
      </w:r>
    </w:p>
    <w:p>
      <w:pPr>
        <w:pStyle w:val="Normal"/>
        <w:spacing w:lineRule="auto" w:line="240" w:before="0" w:after="0"/>
        <w:jc w:val="center"/>
        <w:rPr>
          <w:rFonts w:ascii="Times New Roman" w:hAnsi="Times New Roman" w:eastAsia="Arial Unicode MS" w:cs="Times New Roman"/>
          <w:b/>
          <w:kern w:val="2"/>
          <w:sz w:val="20"/>
          <w:szCs w:val="20"/>
          <w:lang w:val="en-US" w:eastAsia="en-US"/>
        </w:rPr>
      </w:pPr>
      <w:r>
        <w:rPr>
          <w:rFonts w:eastAsia="Arial Unicode MS" w:cs="Times New Roman" w:ascii="Times New Roman" w:hAnsi="Times New Roman"/>
          <w:b/>
          <w:kern w:val="2"/>
          <w:sz w:val="20"/>
          <w:szCs w:val="20"/>
          <w:lang w:val="en-US" w:eastAsia="en-US"/>
        </w:rPr>
      </w:r>
    </w:p>
    <w:p>
      <w:pPr>
        <w:pStyle w:val="Normal"/>
        <w:spacing w:lineRule="auto" w:line="240" w:before="0" w:after="0"/>
        <w:jc w:val="center"/>
        <w:rPr>
          <w:rFonts w:ascii="Times New Roman" w:hAnsi="Times New Roman" w:cs="Times New Roman"/>
          <w:b/>
          <w:sz w:val="20"/>
          <w:szCs w:val="20"/>
          <w:lang w:val="en-US" w:eastAsia="en-US"/>
        </w:rPr>
      </w:pPr>
      <w:r>
        <w:rPr>
          <w:rFonts w:ascii="Times New Roman" w:hAnsi="Times New Roman"/>
          <w:b/>
          <w:sz w:val="24"/>
        </w:rPr>
        <w:t>Ahmad Dedi Jubaedi</w:t>
      </w:r>
      <w:r>
        <w:rPr>
          <w:rFonts w:ascii="Times New Roman" w:hAnsi="Times New Roman"/>
          <w:b/>
          <w:sz w:val="24"/>
          <w:vertAlign w:val="superscript"/>
        </w:rPr>
        <w:t>1,*</w:t>
      </w:r>
      <w:r>
        <w:rPr>
          <w:rFonts w:ascii="Times New Roman" w:hAnsi="Times New Roman"/>
          <w:b/>
          <w:sz w:val="24"/>
        </w:rPr>
        <w:t xml:space="preserve">, </w:t>
      </w:r>
      <w:r>
        <w:rPr>
          <w:rFonts w:ascii="Times New Roman" w:hAnsi="Times New Roman"/>
          <w:b/>
          <w:sz w:val="24"/>
        </w:rPr>
        <w:t>Saleh Dwiyatno</w:t>
      </w:r>
      <w:r>
        <w:rPr>
          <w:rFonts w:ascii="Times New Roman" w:hAnsi="Times New Roman"/>
          <w:b/>
          <w:sz w:val="24"/>
          <w:vertAlign w:val="superscript"/>
        </w:rPr>
        <w:t>1</w:t>
      </w:r>
      <w:r>
        <w:rPr>
          <w:rFonts w:ascii="Times New Roman" w:hAnsi="Times New Roman"/>
          <w:b/>
          <w:sz w:val="24"/>
        </w:rPr>
        <w:t xml:space="preserve">, </w:t>
      </w:r>
      <w:r>
        <w:rPr>
          <w:rFonts w:ascii="Times New Roman" w:hAnsi="Times New Roman"/>
          <w:b/>
          <w:sz w:val="24"/>
        </w:rPr>
        <w:t>Rahmat</w:t>
      </w:r>
      <w:r>
        <w:rPr>
          <w:rFonts w:ascii="Times New Roman" w:hAnsi="Times New Roman"/>
          <w:b/>
          <w:sz w:val="24"/>
          <w:vertAlign w:val="superscript"/>
        </w:rPr>
        <w:t>2</w:t>
      </w:r>
    </w:p>
    <w:p>
      <w:pPr>
        <w:pStyle w:val="Normal"/>
        <w:spacing w:lineRule="auto" w:line="240" w:before="0" w:after="0"/>
        <w:jc w:val="center"/>
        <w:rPr>
          <w:rFonts w:ascii="Times New Roman" w:hAnsi="Times New Roman" w:eastAsia="Arial Unicode MS" w:cs="Times New Roman"/>
          <w:kern w:val="2"/>
          <w:sz w:val="20"/>
          <w:szCs w:val="20"/>
          <w:lang w:val="en-US" w:eastAsia="en-US"/>
        </w:rPr>
      </w:pPr>
      <w:r>
        <w:rPr>
          <w:rFonts w:ascii="Times New Roman" w:hAnsi="Times New Roman"/>
          <w:b w:val="0"/>
          <w:sz w:val="20"/>
        </w:rPr>
      </w:r>
    </w:p>
    <w:p>
      <w:pPr>
        <w:pStyle w:val="Normal"/>
        <w:spacing w:lineRule="auto" w:line="240" w:before="0" w:after="0"/>
        <w:jc w:val="center"/>
        <w:rPr>
          <w:rFonts w:ascii="Times New Roman" w:hAnsi="Times New Roman" w:eastAsia="Arial Unicode MS" w:cs="Times New Roman"/>
          <w:kern w:val="2"/>
          <w:sz w:val="20"/>
          <w:szCs w:val="20"/>
          <w:lang w:val="en-US" w:eastAsia="en-US"/>
        </w:rPr>
      </w:pPr>
      <w:r>
        <w:rPr>
          <w:rFonts w:eastAsia="Arial Unicode MS" w:cs="Times New Roman" w:ascii="Times New Roman" w:hAnsi="Times New Roman"/>
          <w:kern w:val="2"/>
          <w:sz w:val="20"/>
          <w:szCs w:val="20"/>
          <w:lang w:val="en-US" w:eastAsia="en-US"/>
        </w:rPr>
      </w:r>
    </w:p>
    <w:p>
      <w:pPr>
        <w:pStyle w:val="Normal"/>
        <w:spacing w:lineRule="auto" w:line="240" w:before="0" w:after="0"/>
        <w:jc w:val="center"/>
        <w:rPr/>
      </w:pPr>
      <w:r>
        <w:rPr>
          <w:rFonts w:ascii="Times New Roman" w:hAnsi="Times New Roman"/>
          <w:b w:val="0"/>
          <w:sz w:val="20"/>
          <w:vertAlign w:val="superscript"/>
        </w:rPr>
        <w:t>1</w:t>
      </w:r>
      <w:r>
        <w:rPr>
          <w:rFonts w:ascii="Times New Roman" w:hAnsi="Times New Roman"/>
          <w:b w:val="0"/>
          <w:sz w:val="20"/>
        </w:rPr>
        <w:t>Fakultas Ilmu Komputer, Universitas Serang Raya, Jl. Raya Cilegon Km. 5, Taktakan, Serang, Banten 42162, Indonesia</w:t>
      </w:r>
    </w:p>
    <w:p>
      <w:pPr>
        <w:pStyle w:val="Normal"/>
        <w:spacing w:lineRule="auto" w:line="240" w:before="0" w:after="0"/>
        <w:jc w:val="center"/>
        <w:rPr/>
      </w:pPr>
      <w:r>
        <w:rPr>
          <w:rFonts w:ascii="Times New Roman" w:hAnsi="Times New Roman"/>
          <w:b w:val="0"/>
          <w:sz w:val="20"/>
          <w:vertAlign w:val="superscript"/>
        </w:rPr>
        <w:t>2</w:t>
      </w:r>
      <w:r>
        <w:rPr>
          <w:rFonts w:ascii="Times New Roman" w:hAnsi="Times New Roman"/>
          <w:b w:val="0"/>
          <w:sz w:val="20"/>
        </w:rPr>
        <w:t>AMIK Serang, Serang, Banten, Indonesia</w:t>
      </w:r>
    </w:p>
    <w:p>
      <w:pPr>
        <w:pStyle w:val="Normal"/>
        <w:spacing w:lineRule="auto" w:line="240" w:before="0" w:after="0"/>
        <w:jc w:val="center"/>
        <w:rPr>
          <w:rFonts w:ascii="Times New Roman" w:hAnsi="Times New Roman" w:cs="Times New Roman"/>
          <w:sz w:val="20"/>
          <w:szCs w:val="20"/>
          <w:lang w:val="en-US" w:eastAsia="en-US"/>
        </w:rPr>
      </w:pPr>
      <w:r>
        <w:rPr>
          <w:rFonts w:ascii="Times New Roman" w:hAnsi="Times New Roman"/>
          <w:b w:val="0"/>
          <w:sz w:val="20"/>
        </w:rPr>
      </w:r>
    </w:p>
    <w:p>
      <w:pPr>
        <w:pStyle w:val="Normal"/>
        <w:spacing w:lineRule="auto" w:line="240" w:before="0" w:after="0"/>
        <w:jc w:val="center"/>
        <w:rPr>
          <w:rFonts w:ascii="Times New Roman" w:hAnsi="Times New Roman" w:cs="Times New Roman"/>
          <w:sz w:val="20"/>
          <w:szCs w:val="20"/>
          <w:lang w:val="en-US" w:eastAsia="en-US"/>
        </w:rPr>
      </w:pPr>
      <w:r>
        <w:rPr>
          <w:rFonts w:cs="Times New Roman" w:ascii="Times New Roman" w:hAnsi="Times New Roman"/>
          <w:sz w:val="20"/>
          <w:szCs w:val="20"/>
          <w:lang w:val="en-US" w:eastAsia="en-US"/>
        </w:rPr>
      </w:r>
    </w:p>
    <w:p>
      <w:pPr>
        <w:pStyle w:val="Normal"/>
        <w:spacing w:lineRule="auto" w:line="240" w:before="0" w:after="0"/>
        <w:jc w:val="center"/>
        <w:rPr>
          <w:rFonts w:ascii="Times New Roman" w:hAnsi="Times New Roman" w:cs="Times New Roman"/>
          <w:sz w:val="20"/>
          <w:szCs w:val="20"/>
          <w:lang w:val="en-US" w:eastAsia="en-US"/>
        </w:rPr>
      </w:pPr>
      <w:r>
        <w:rPr>
          <w:rFonts w:ascii="Times New Roman" w:hAnsi="Times New Roman"/>
          <w:b w:val="0"/>
          <w:sz w:val="20"/>
        </w:rPr>
        <w:t>E-mail: dedi@unsera.ac.id (penulis korespondensi), salehdwiyatno@gmail.com, rahmat042@gmail.com</w:t>
      </w:r>
    </w:p>
    <w:p>
      <w:pPr>
        <w:pStyle w:val="Normal"/>
        <w:spacing w:lineRule="auto" w:line="240" w:before="0" w:after="0"/>
        <w:jc w:val="center"/>
        <w:rPr>
          <w:rFonts w:ascii="Times New Roman" w:hAnsi="Times New Roman" w:cs="Times New Roman"/>
          <w:sz w:val="20"/>
          <w:szCs w:val="20"/>
          <w:lang w:val="en-US" w:eastAsia="en-US"/>
        </w:rPr>
      </w:pPr>
      <w:r>
        <w:rPr>
          <w:rFonts w:ascii="Times New Roman" w:hAnsi="Times New Roman"/>
          <w:b w:val="0"/>
          <w:sz w:val="20"/>
        </w:rPr>
      </w:r>
    </w:p>
    <w:tbl>
      <w:tblPr>
        <w:tblW w:w="8436" w:type="dxa"/>
        <w:jc w:val="start"/>
        <w:tblInd w:w="567" w:type="dxa"/>
        <w:tblLayout w:type="fixed"/>
        <w:tblCellMar>
          <w:top w:w="0" w:type="dxa"/>
          <w:start w:w="108" w:type="dxa"/>
          <w:bottom w:w="0" w:type="dxa"/>
          <w:end w:w="108" w:type="dxa"/>
        </w:tblCellMar>
      </w:tblPr>
      <w:tblGrid>
        <w:gridCol w:w="2810"/>
        <w:gridCol w:w="2811"/>
        <w:gridCol w:w="2815"/>
      </w:tblGrid>
      <w:tr>
        <w:trPr/>
        <w:tc>
          <w:tcPr>
            <w:tcW w:w="2810" w:type="dxa"/>
            <w:tcBorders>
              <w:top w:val="single" w:sz="4" w:space="0" w:color="000000"/>
              <w:bottom w:val="single" w:sz="4" w:space="0" w:color="000000"/>
            </w:tcBorders>
          </w:tcPr>
          <w:p>
            <w:pPr>
              <w:pStyle w:val="Normal"/>
              <w:spacing w:lineRule="auto" w:line="240" w:before="0" w:after="0"/>
              <w:ind w:end="565"/>
              <w:jc w:val="center"/>
              <w:rPr>
                <w:rFonts w:ascii="Times New Roman" w:hAnsi="Times New Roman" w:cs="Times New Roman"/>
                <w:sz w:val="20"/>
                <w:szCs w:val="20"/>
                <w:lang w:val="en-US" w:eastAsia="en-US"/>
              </w:rPr>
            </w:pPr>
            <w:r>
              <w:rPr>
                <w:rFonts w:cs="Times New Roman" w:ascii="Times New Roman" w:hAnsi="Times New Roman"/>
                <w:sz w:val="20"/>
                <w:szCs w:val="20"/>
                <w:lang w:val="en-US" w:eastAsia="en-US"/>
              </w:rPr>
              <w:t>Received :</w:t>
            </w:r>
            <w:r>
              <w:rPr>
                <w:rFonts w:cs="Times New Roman" w:ascii="Times New Roman" w:hAnsi="Times New Roman"/>
                <w:sz w:val="20"/>
                <w:szCs w:val="20"/>
                <w:lang w:val="en-US" w:eastAsia="en-US"/>
              </w:rPr>
              <w:t xml:space="preserve"> ……</w:t>
            </w:r>
          </w:p>
        </w:tc>
        <w:tc>
          <w:tcPr>
            <w:tcW w:w="2811" w:type="dxa"/>
            <w:tcBorders>
              <w:top w:val="single" w:sz="4" w:space="0" w:color="000000"/>
              <w:bottom w:val="single" w:sz="4" w:space="0" w:color="000000"/>
            </w:tcBorders>
          </w:tcPr>
          <w:p>
            <w:pPr>
              <w:pStyle w:val="Normal"/>
              <w:spacing w:lineRule="auto" w:line="240" w:before="0" w:after="0"/>
              <w:ind w:end="565"/>
              <w:jc w:val="center"/>
              <w:rPr>
                <w:rFonts w:ascii="Times New Roman" w:hAnsi="Times New Roman" w:cs="Times New Roman"/>
                <w:sz w:val="20"/>
                <w:szCs w:val="20"/>
                <w:lang w:val="en-US" w:eastAsia="en-US"/>
              </w:rPr>
            </w:pPr>
            <w:r>
              <w:rPr>
                <w:rFonts w:cs="Times New Roman" w:ascii="Times New Roman" w:hAnsi="Times New Roman"/>
                <w:sz w:val="20"/>
                <w:szCs w:val="20"/>
                <w:lang w:val="en-US" w:eastAsia="en-US"/>
              </w:rPr>
              <w:t>Accepted :</w:t>
            </w:r>
            <w:r>
              <w:rPr>
                <w:rFonts w:cs="Times New Roman" w:ascii="Times New Roman" w:hAnsi="Times New Roman"/>
                <w:sz w:val="20"/>
                <w:szCs w:val="20"/>
                <w:lang w:val="en-US" w:eastAsia="en-US"/>
              </w:rPr>
              <w:t xml:space="preserve"> ……….</w:t>
            </w:r>
          </w:p>
        </w:tc>
        <w:tc>
          <w:tcPr>
            <w:tcW w:w="2815" w:type="dxa"/>
            <w:tcBorders>
              <w:top w:val="single" w:sz="4" w:space="0" w:color="000000"/>
              <w:bottom w:val="single" w:sz="4" w:space="0" w:color="000000"/>
            </w:tcBorders>
          </w:tcPr>
          <w:p>
            <w:pPr>
              <w:pStyle w:val="Normal"/>
              <w:spacing w:lineRule="auto" w:line="240" w:before="0" w:after="0"/>
              <w:ind w:end="565"/>
              <w:jc w:val="center"/>
              <w:rPr>
                <w:rFonts w:ascii="Times New Roman" w:hAnsi="Times New Roman" w:cs="Times New Roman"/>
                <w:sz w:val="20"/>
                <w:szCs w:val="20"/>
                <w:lang w:val="en-US" w:eastAsia="en-US"/>
              </w:rPr>
            </w:pPr>
            <w:r>
              <w:rPr>
                <w:rFonts w:cs="Times New Roman" w:ascii="Times New Roman" w:hAnsi="Times New Roman"/>
                <w:sz w:val="20"/>
                <w:szCs w:val="20"/>
                <w:lang w:val="en-US" w:eastAsia="en-US"/>
              </w:rPr>
              <w:t>Published :</w:t>
            </w:r>
            <w:r>
              <w:rPr>
                <w:rFonts w:cs="Times New Roman" w:ascii="Times New Roman" w:hAnsi="Times New Roman"/>
                <w:sz w:val="20"/>
                <w:szCs w:val="20"/>
                <w:lang w:val="en-US" w:eastAsia="en-US"/>
              </w:rPr>
              <w:t xml:space="preserve"> …….</w:t>
            </w:r>
          </w:p>
        </w:tc>
      </w:tr>
    </w:tbl>
    <w:p>
      <w:pPr>
        <w:spacing w:before="0" w:after="0" w:line="240" w:lineRule="auto"/>
        <w:jc w:val="center"/>
      </w:pPr>
      <w:r>
        <w:rPr>
          <w:rFonts w:ascii="Times New Roman" w:hAnsi="Times New Roman" w:eastAsia="Times New Roman"/>
          <w:b/>
          <w:i w:val="0"/>
          <w:sz w:val="20"/>
        </w:rPr>
        <w:t>Abstract</w:t>
      </w:r>
    </w:p>
    <w:p>
      <w:pPr>
        <w:spacing w:before="0" w:after="0" w:line="240" w:lineRule="auto"/>
        <w:jc w:val="both"/>
      </w:pPr>
      <w:r>
        <w:rPr>
          <w:rFonts w:ascii="Times New Roman" w:hAnsi="Times New Roman" w:eastAsia="Times New Roman"/>
          <w:b w:val="0"/>
          <w:i w:val="0"/>
          <w:sz w:val="20"/>
        </w:rPr>
        <w:t xml:space="preserve">Motor vehicle tax (PKB) transactions recorded by SAMSAT offices underpin regional revenue reporting, yet their quality is rarely audited systematically. </w:t>
      </w:r>
      <w:r>
        <w:rPr>
          <w:rFonts w:ascii="Times New Roman" w:hAnsi="Times New Roman" w:eastAsia="Times New Roman"/>
          <w:b/>
          <w:i w:val="0"/>
          <w:sz w:val="20"/>
        </w:rPr>
        <w:t>Problem:</w:t>
      </w:r>
      <w:r>
        <w:rPr>
          <w:rFonts w:ascii="Times New Roman" w:hAnsi="Times New Roman" w:eastAsia="Times New Roman"/>
          <w:b w:val="0"/>
          <w:i w:val="0"/>
          <w:sz w:val="20"/>
        </w:rPr>
        <w:t xml:space="preserve"> inconsistencies such as penalties without arrears, mutation codes that contradict the application type and PKB values implausible for the vehicle type are hidden among hundreds of thousands of records, and no labelled ground truth exists. </w:t>
      </w:r>
      <w:r>
        <w:rPr>
          <w:rFonts w:ascii="Times New Roman" w:hAnsi="Times New Roman" w:eastAsia="Times New Roman"/>
          <w:b/>
          <w:i w:val="0"/>
          <w:sz w:val="20"/>
        </w:rPr>
        <w:t>Solution:</w:t>
      </w:r>
      <w:r>
        <w:rPr>
          <w:rFonts w:ascii="Times New Roman" w:hAnsi="Times New Roman" w:eastAsia="Times New Roman"/>
          <w:b w:val="0"/>
          <w:i w:val="0"/>
          <w:sz w:val="20"/>
        </w:rPr>
        <w:t xml:space="preserve"> we propose a three-layer hybrid detector that combines eleven domain rules with an ensemble of Isolation Forest, Local Outlier Factor (LOF) and an autoencoder, preceded by coding-scheme drift detection and harmonisation. The method was applied to 193,899 ISQL-WEB SAMSAT transactions from Banten (May–June 2021–2024), trained on 2021–2023 and tested on 2024 with eight injected anomaly types over ten runs. </w:t>
      </w:r>
      <w:r>
        <w:rPr>
          <w:rFonts w:ascii="Times New Roman" w:hAnsi="Times New Roman" w:eastAsia="Times New Roman"/>
          <w:b/>
          <w:i w:val="0"/>
          <w:sz w:val="20"/>
        </w:rPr>
        <w:t>Results:</w:t>
      </w:r>
      <w:r>
        <w:rPr>
          <w:rFonts w:ascii="Times New Roman" w:hAnsi="Times New Roman" w:eastAsia="Times New Roman"/>
          <w:b w:val="0"/>
          <w:i w:val="0"/>
          <w:sz w:val="20"/>
        </w:rPr>
        <w:t xml:space="preserve"> the hybrid detector reached PR-AUC 0.973 and ROC-AUC 0.996, outperforming rules alone (0.817), the autoencoder (0.862), Isolation Forest (0.178) and LOF (0.133) (Friedman p &lt; 0.001). Domain features raised the ensemble PR-AUC from 0.54 to 0.76. On real data, 5.2% of transactions violated at least one rule and a 2024 recoding of status and application codes was detected.</w:t>
      </w:r>
    </w:p>
    <w:p>
      <w:pPr>
        <w:spacing w:before="0" w:after="0" w:line="240" w:lineRule="auto"/>
        <w:jc w:val="both"/>
      </w:pPr>
      <w:r>
        <w:rPr>
          <w:rFonts w:ascii="Times New Roman" w:hAnsi="Times New Roman" w:eastAsia="Times New Roman"/>
          <w:b/>
          <w:i w:val="0"/>
          <w:sz w:val="20"/>
        </w:rPr>
        <w:t>Keywords:</w:t>
      </w:r>
      <w:r>
        <w:rPr>
          <w:rFonts w:ascii="Times New Roman" w:hAnsi="Times New Roman" w:eastAsia="Times New Roman"/>
          <w:b w:val="0"/>
          <w:i w:val="0"/>
          <w:sz w:val="20"/>
        </w:rPr>
        <w:t xml:space="preserve"> anomaly detection; data quality; Isolation Forest; autoencoder; motor vehicle tax</w:t>
      </w:r>
    </w:p>
    <w:p>
      <w:pPr>
        <w:spacing w:before="0" w:after="0" w:line="240" w:lineRule="auto"/>
        <w:jc w:val="both"/>
      </w:pPr>
    </w:p>
    <w:p>
      <w:pPr>
        <w:spacing w:before="0" w:after="0" w:line="240" w:lineRule="auto"/>
        <w:jc w:val="center"/>
      </w:pPr>
      <w:r>
        <w:rPr>
          <w:rFonts w:ascii="Times New Roman" w:hAnsi="Times New Roman" w:eastAsia="Times New Roman"/>
          <w:b/>
          <w:i w:val="0"/>
          <w:sz w:val="20"/>
        </w:rPr>
        <w:t>Abstrak</w:t>
      </w:r>
    </w:p>
    <w:p>
      <w:pPr>
        <w:spacing w:before="0" w:after="0" w:line="240" w:lineRule="auto"/>
        <w:jc w:val="both"/>
      </w:pPr>
      <w:r>
        <w:rPr>
          <w:rFonts w:ascii="Times New Roman" w:hAnsi="Times New Roman" w:eastAsia="Times New Roman"/>
          <w:b w:val="0"/>
          <w:i w:val="0"/>
          <w:sz w:val="20"/>
        </w:rPr>
        <w:t xml:space="preserve">Transaksi pajak kendaraan bermotor (PKB) yang dicatat SAMSAT menjadi dasar pelaporan pendapatan daerah, tetapi kualitasnya jarang diaudit secara sistematis. </w:t>
      </w:r>
      <w:r>
        <w:rPr>
          <w:rFonts w:ascii="Times New Roman" w:hAnsi="Times New Roman" w:eastAsia="Times New Roman"/>
          <w:b/>
          <w:i w:val="0"/>
          <w:sz w:val="20"/>
        </w:rPr>
        <w:t>Masalah:</w:t>
      </w:r>
      <w:r>
        <w:rPr>
          <w:rFonts w:ascii="Times New Roman" w:hAnsi="Times New Roman" w:eastAsia="Times New Roman"/>
          <w:b w:val="0"/>
          <w:i w:val="0"/>
          <w:sz w:val="20"/>
        </w:rPr>
        <w:t xml:space="preserve"> inkonsistensi seperti denda tanpa tunggakan, kode mutasi yang bertentangan dengan jenis permohonan, dan nilai PKB yang janggal untuk jenis kendaraannya tersembunyi di antara ratusan ribu baris, sementara label kebenaran tidak tersedia. </w:t>
      </w:r>
      <w:r>
        <w:rPr>
          <w:rFonts w:ascii="Times New Roman" w:hAnsi="Times New Roman" w:eastAsia="Times New Roman"/>
          <w:b/>
          <w:i w:val="0"/>
          <w:sz w:val="20"/>
        </w:rPr>
        <w:t>Solusi:</w:t>
      </w:r>
      <w:r>
        <w:rPr>
          <w:rFonts w:ascii="Times New Roman" w:hAnsi="Times New Roman" w:eastAsia="Times New Roman"/>
          <w:b w:val="0"/>
          <w:i w:val="0"/>
          <w:sz w:val="20"/>
        </w:rPr>
        <w:t xml:space="preserve"> penelitian ini mengusulkan detektor hibrida tiga lapis yang menggabungkan sebelas aturan domain dengan ensemble Isolation Forest, Local Outlier Factor (LOF), dan autoencoder, didahului deteksi serta harmonisasi pergeseran skema kode. Metode diterapkan pada 193.899 transaksi ISQL-WEB SAMSAT Banten (Mei–Juni 2021–2024), dilatih pada 2021–2023 dan diuji pada 2024 dengan delapan tipe anomali injeksi dalam sepuluh ulangan. </w:t>
      </w:r>
      <w:r>
        <w:rPr>
          <w:rFonts w:ascii="Times New Roman" w:hAnsi="Times New Roman" w:eastAsia="Times New Roman"/>
          <w:b/>
          <w:i w:val="0"/>
          <w:sz w:val="20"/>
        </w:rPr>
        <w:t>Hasil:</w:t>
      </w:r>
      <w:r>
        <w:rPr>
          <w:rFonts w:ascii="Times New Roman" w:hAnsi="Times New Roman" w:eastAsia="Times New Roman"/>
          <w:b w:val="0"/>
          <w:i w:val="0"/>
          <w:sz w:val="20"/>
        </w:rPr>
        <w:t xml:space="preserve"> detektor hibrida mencapai PR-AUC 0,973 dan ROC-AUC 0,996, lebih baik daripada aturan saja (0,817), autoencoder (0,862), Isolation Forest (0,178), dan LOF (0,133) (Friedman p &lt; 0,001). Fitur berbasis domain menaikkan PR-AUC ensemble dari 0,54 menjadi 0,76. Pada data riil, 5,2% transaksi melanggar sedikitnya satu aturan dan terdeteksi pengodean ulang kode status serta permohonan pada 2024.</w:t>
      </w:r>
    </w:p>
    <w:p>
      <w:pPr>
        <w:spacing w:before="0" w:after="0" w:line="240" w:lineRule="auto"/>
        <w:jc w:val="both"/>
      </w:pPr>
      <w:r>
        <w:rPr>
          <w:rFonts w:ascii="Times New Roman" w:hAnsi="Times New Roman" w:eastAsia="Times New Roman"/>
          <w:b/>
          <w:i w:val="0"/>
          <w:sz w:val="20"/>
        </w:rPr>
        <w:t>Kata kunci:</w:t>
      </w:r>
      <w:r>
        <w:rPr>
          <w:rFonts w:ascii="Times New Roman" w:hAnsi="Times New Roman" w:eastAsia="Times New Roman"/>
          <w:b w:val="0"/>
          <w:i w:val="0"/>
          <w:sz w:val="20"/>
        </w:rPr>
        <w:t xml:space="preserve"> deteksi anomali; kualitas data; Isolation Forest; autoencoder; pajak kendaraan bermotor</w:t>
      </w:r>
    </w:p>
    <w:p>
      <w:pPr>
        <w:spacing w:before="0" w:after="0" w:line="240" w:lineRule="auto"/>
        <w:jc w:val="both"/>
      </w:pPr>
    </w:p>
    <w:p>
      <w:pPr>
        <w:keepNext/>
        <w:spacing w:before="0" w:after="60" w:line="240" w:lineRule="auto"/>
        <w:jc w:val="left"/>
      </w:pPr>
      <w:r>
        <w:rPr>
          <w:rFonts w:ascii="Times New Roman" w:hAnsi="Times New Roman" w:eastAsia="Times New Roman"/>
          <w:b/>
          <w:i w:val="0"/>
          <w:sz w:val="20"/>
        </w:rPr>
        <w:t>1. Pendahuluan</w:t>
      </w:r>
    </w:p>
    <w:p>
      <w:pPr>
        <w:spacing w:before="0" w:after="0" w:line="240" w:lineRule="auto"/>
        <w:jc w:val="both"/>
      </w:pPr>
      <w:r>
        <w:rPr>
          <w:rFonts w:ascii="Times New Roman" w:hAnsi="Times New Roman" w:eastAsia="Times New Roman"/>
          <w:b w:val="0"/>
          <w:i w:val="0"/>
          <w:sz w:val="20"/>
        </w:rPr>
        <w:t>Pajak kendaraan bermotor (PKB) dan bea balik nama kendaraan bermotor (BBNKB) merupakan sumber utama pendapatan asli daerah provinsi di Indonesia, dan pengelolaannya diatur ulang melalui Undang-Undang Hubungan Keuangan Pusat dan Daerah [1]. Seluruh transaksi PKB dicatat oleh Sistem Administrasi Manunggal Satu Atap (SAMSAT); di Banten, data tersebut dihimpun aplikasi ISQL-WEB SAMSAT dan menjadi bahan pelaporan penerimaan, penagihan tunggakan, serta evaluasi kebijakan keringanan. Kajian PKB di Indonesia selama ini didominasi analisis kepatuhan wajib pajak dan layanan elektronik [2,3] serta peramalan realisasi penerimaan [4], sedangkan mutu data transaksinya sendiri jarang diperiksa. Padahal, kualitas data merupakan prasyarat analitik dan pembelajaran mesin yang andal [5,6], dan studi pada data pemerintah terbuka menunjukkan bahwa nilai hilang serta anomali dapat mencapai porsi yang besar bila tidak dipantau [7].</w:t>
      </w:r>
    </w:p>
    <w:p>
      <w:pPr>
        <w:spacing w:before="0" w:after="0" w:line="240" w:lineRule="auto"/>
        <w:jc w:val="both"/>
      </w:pPr>
      <w:r>
        <w:rPr>
          <w:rFonts w:ascii="Times New Roman" w:hAnsi="Times New Roman" w:eastAsia="Times New Roman"/>
          <w:b w:val="0"/>
          <w:i w:val="0"/>
          <w:sz w:val="20"/>
        </w:rPr>
        <w:t>Di bidang administrasi perpajakan, pembelajaran mesin telah dipakai untuk mendeteksi risiko pajak, memilih sasaran audit, dan memprediksi tunggakan [8–13]. Karena label kecurangan atau kesalahan hampir selalu langka, pendekatan tak terawasi menjadi pilihan dominan [14,15]. Isolation Forest mengisolasi titik langka melalui partisi acak [16,17], Local Outlier Factor (LOF) membandingkan kerapatan lokal [18], dan autoencoder menilai galat rekonstruksi terhadap pola normal [19,20]. Namun, sistem audit di lingkungan pemerintahan umumnya masih bertumpu pada aturan yang ditulis petugas; aturan mudah dijelaskan tetapi hanya menangkap kesalahan yang telah diantisipasi, sebaliknya model tak terawasi dapat menemukan pola baru tetapi sulit dijelaskan [21,22].</w:t>
      </w:r>
    </w:p>
    <w:p>
      <w:pPr>
        <w:spacing w:before="0" w:after="0" w:line="240" w:lineRule="auto"/>
        <w:jc w:val="both"/>
      </w:pPr>
      <w:r>
        <w:rPr>
          <w:rFonts w:ascii="Times New Roman" w:hAnsi="Times New Roman" w:eastAsia="Times New Roman"/>
          <w:b/>
          <w:i w:val="0"/>
          <w:sz w:val="20"/>
        </w:rPr>
        <w:t>Pernyataan masalah.</w:t>
      </w:r>
      <w:r>
        <w:rPr>
          <w:rFonts w:ascii="Times New Roman" w:hAnsi="Times New Roman" w:eastAsia="Times New Roman"/>
          <w:b w:val="0"/>
          <w:i w:val="0"/>
          <w:sz w:val="20"/>
        </w:rPr>
        <w:t xml:space="preserve"> Data transaksi PKB SAMSAT Banten memuat inkonsistensi yang tidak terdeteksi oleh validasi entri, misalnya denda tanpa tunggakan, kode mutasi yang tidak sesuai dengan jenis permohonan, BBNKB yang tidak sejalan dengan kode transaksi, dan nilai PKB yang janggal untuk jenis kendaraannya. Tiga kendala membuat masalah ini sulit: (i) tidak tersedia label kebenaran sehingga kinerja detektor tidak dapat diukur langsung; (ii) kamus kode resmi tidak tersedia bagi analis dan skema kode dapat berubah antartahun sehingga aturan statis menjadi usang; dan (iii) petugas membutuhkan daftar prioritas yang dapat dijelaskan, bukan sekadar skor kotak hitam.</w:t>
      </w:r>
    </w:p>
    <w:p>
      <w:pPr>
        <w:spacing w:before="0" w:after="0" w:line="240" w:lineRule="auto"/>
        <w:jc w:val="both"/>
      </w:pPr>
      <w:r>
        <w:rPr>
          <w:rFonts w:ascii="Times New Roman" w:hAnsi="Times New Roman" w:eastAsia="Times New Roman"/>
          <w:b/>
          <w:i w:val="0"/>
          <w:sz w:val="20"/>
        </w:rPr>
        <w:t>Penelitian terdahulu.</w:t>
      </w:r>
      <w:r>
        <w:rPr>
          <w:rFonts w:ascii="Times New Roman" w:hAnsi="Times New Roman" w:eastAsia="Times New Roman"/>
          <w:b w:val="0"/>
          <w:i w:val="0"/>
          <w:sz w:val="20"/>
        </w:rPr>
        <w:t xml:space="preserve"> Tabel 1 merangkum penelitian yang paling dekat. Savić dkk. [14] menggabungkan klasterisasi dan pembelajaran representasi untuk risiko penghindaran pajak penghasilan, Westerski dkk. [21] menerapkan deteksi anomali yang dapat dijelaskan pada pengadaan pemerintah, Karamanou dkk. [7] memakai Isolation Forest untuk menilai kualitas data pemerintah terbuka, sedangkan Carcillo dkk. [23] dan Bakumenko &amp; Elragal [24] menggabungkan skor tak terawasi dengan model terawasi pada data keuangan berlabel. Belum ada studi yang (a) memadukan aturan domain perpajakan daerah dengan ensemble IF–LOF–autoencoder pada tingkat transaksi SAMSAT, (b) mengevaluasinya secara kuantitatif tanpa label melalui injeksi anomali realistis [25] dengan validasi temporal, dan (c) sekaligus mengukur kualitas data serta pergeseran skema kode antartahun [26].</w:t>
      </w:r>
    </w:p>
    <w:p>
      <w:pPr>
        <w:keepNext/>
        <w:spacing w:before="80" w:after="0" w:line="240" w:lineRule="auto"/>
        <w:jc w:val="center"/>
      </w:pPr>
      <w:r>
        <w:rPr>
          <w:rFonts w:ascii="Times New Roman" w:hAnsi="Times New Roman" w:eastAsia="Times New Roman"/>
          <w:b w:val="0"/>
          <w:i w:val="0"/>
          <w:sz w:val="16"/>
        </w:rPr>
        <w:t>Tabel 1: Perbandingan dengan penelitian terdahulu</w:t>
      </w:r>
    </w:p>
    <w:tbl>
      <w:tblPr>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W w:w="8731" w:type="dxa"/>
        <w:tblLayout w:type="fixed"/>
      </w:tblPr>
      <w:tblGrid>
        <w:gridCol w:w="1644"/>
        <w:gridCol w:w="1644"/>
        <w:gridCol w:w="2041"/>
        <w:gridCol w:w="850"/>
        <w:gridCol w:w="1360"/>
        <w:gridCol w:w="1190"/>
      </w:tblGrid>
      <w:tr>
        <w:tc>
          <w:tcPr>
            <w:tcW w:type="dxa" w:w="1644"/>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Studi</w:t>
            </w:r>
          </w:p>
        </w:tc>
        <w:tc>
          <w:tcPr>
            <w:tcW w:type="dxa" w:w="1644"/>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Domain/data</w:t>
            </w:r>
          </w:p>
        </w:tc>
        <w:tc>
          <w:tcPr>
            <w:tcW w:type="dxa" w:w="2041"/>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Metode</w:t>
            </w:r>
          </w:p>
        </w:tc>
        <w:tc>
          <w:tcPr>
            <w:tcW w:type="dxa" w:w="850"/>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Aturan domain</w:t>
            </w:r>
          </w:p>
        </w:tc>
        <w:tc>
          <w:tcPr>
            <w:tcW w:type="dxa" w:w="1361"/>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Evaluasi</w:t>
            </w:r>
          </w:p>
        </w:tc>
        <w:tc>
          <w:tcPr>
            <w:tcW w:type="dxa" w:w="1191"/>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Kualitas data &amp; drift</w:t>
            </w:r>
          </w:p>
        </w:tc>
      </w:tr>
      <w:tr>
        <w:tc>
          <w:tcPr>
            <w:tcW w:type="dxa" w:w="1644"/>
            <w:tcMar>
              <w:top w:w="15" w:type="dxa"/>
              <w:bottom w:w="15" w:type="dxa"/>
            </w:tcMar>
          </w:tcPr>
          <w:p>
            <w:pPr>
              <w:spacing w:before="0" w:after="0" w:line="240" w:lineRule="auto"/>
              <w:jc w:val="left"/>
            </w:pPr>
            <w:r/>
            <w:r>
              <w:rPr>
                <w:rFonts w:ascii="Times New Roman" w:hAnsi="Times New Roman" w:eastAsia="Times New Roman"/>
                <w:b w:val="0"/>
                <w:i w:val="0"/>
                <w:sz w:val="16"/>
              </w:rPr>
              <w:t>Savić dkk. [14]</w:t>
            </w:r>
          </w:p>
        </w:tc>
        <w:tc>
          <w:tcPr>
            <w:tcW w:type="dxa" w:w="1644"/>
            <w:tcMar>
              <w:top w:w="15" w:type="dxa"/>
              <w:bottom w:w="15" w:type="dxa"/>
            </w:tcMar>
          </w:tcPr>
          <w:p>
            <w:pPr>
              <w:spacing w:before="0" w:after="0" w:line="240" w:lineRule="auto"/>
              <w:jc w:val="left"/>
            </w:pPr>
            <w:r/>
            <w:r>
              <w:rPr>
                <w:rFonts w:ascii="Times New Roman" w:hAnsi="Times New Roman" w:eastAsia="Times New Roman"/>
                <w:b w:val="0"/>
                <w:i w:val="0"/>
                <w:sz w:val="16"/>
              </w:rPr>
              <w:t>PPh orang pribadi, Serbia</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6"/>
              </w:rPr>
              <w:t>Klasterisasi + autoencoder (HUNOD), model surrogate</w:t>
            </w:r>
          </w:p>
        </w:tc>
        <w:tc>
          <w:tcPr>
            <w:tcW w:type="dxa" w:w="850"/>
            <w:tcMar>
              <w:top w:w="15" w:type="dxa"/>
              <w:bottom w:w="15" w:type="dxa"/>
            </w:tcMar>
          </w:tcPr>
          <w:p>
            <w:pPr>
              <w:spacing w:before="0" w:after="0" w:line="240" w:lineRule="auto"/>
              <w:jc w:val="center"/>
            </w:pPr>
            <w:r/>
            <w:r>
              <w:rPr>
                <w:rFonts w:ascii="Times New Roman" w:hAnsi="Times New Roman" w:eastAsia="Times New Roman"/>
                <w:b w:val="0"/>
                <w:i w:val="0"/>
                <w:sz w:val="16"/>
              </w:rPr>
              <w:t>Sebagian</w:t>
            </w:r>
          </w:p>
        </w:tc>
        <w:tc>
          <w:tcPr>
            <w:tcW w:type="dxa" w:w="1361"/>
            <w:tcMar>
              <w:top w:w="15" w:type="dxa"/>
              <w:bottom w:w="15" w:type="dxa"/>
            </w:tcMar>
          </w:tcPr>
          <w:p>
            <w:pPr>
              <w:spacing w:before="0" w:after="0" w:line="240" w:lineRule="auto"/>
              <w:jc w:val="left"/>
            </w:pPr>
            <w:r/>
            <w:r>
              <w:rPr>
                <w:rFonts w:ascii="Times New Roman" w:hAnsi="Times New Roman" w:eastAsia="Times New Roman"/>
                <w:b w:val="0"/>
                <w:i w:val="0"/>
                <w:sz w:val="16"/>
              </w:rPr>
              <w:t>Validasi internal</w:t>
            </w:r>
          </w:p>
        </w:tc>
        <w:tc>
          <w:tcPr>
            <w:tcW w:type="dxa" w:w="1191"/>
            <w:tcMar>
              <w:top w:w="15" w:type="dxa"/>
              <w:bottom w:w="15" w:type="dxa"/>
            </w:tcMar>
          </w:tcPr>
          <w:p>
            <w:pPr>
              <w:spacing w:before="0" w:after="0" w:line="240" w:lineRule="auto"/>
              <w:jc w:val="center"/>
            </w:pPr>
            <w:r/>
            <w:r>
              <w:rPr>
                <w:rFonts w:ascii="Times New Roman" w:hAnsi="Times New Roman" w:eastAsia="Times New Roman"/>
                <w:b w:val="0"/>
                <w:i w:val="0"/>
                <w:sz w:val="16"/>
              </w:rPr>
              <w:t>Tidak</w:t>
            </w:r>
          </w:p>
        </w:tc>
      </w:tr>
      <w:tr>
        <w:tc>
          <w:tcPr>
            <w:tcW w:type="dxa" w:w="1644"/>
            <w:tcMar>
              <w:top w:w="15" w:type="dxa"/>
              <w:bottom w:w="15" w:type="dxa"/>
            </w:tcMar>
          </w:tcPr>
          <w:p>
            <w:pPr>
              <w:spacing w:before="0" w:after="0" w:line="240" w:lineRule="auto"/>
              <w:jc w:val="left"/>
            </w:pPr>
            <w:r/>
            <w:r>
              <w:rPr>
                <w:rFonts w:ascii="Times New Roman" w:hAnsi="Times New Roman" w:eastAsia="Times New Roman"/>
                <w:b w:val="0"/>
                <w:i w:val="0"/>
                <w:sz w:val="16"/>
              </w:rPr>
              <w:t>Westerski dkk. [21]</w:t>
            </w:r>
          </w:p>
        </w:tc>
        <w:tc>
          <w:tcPr>
            <w:tcW w:type="dxa" w:w="1644"/>
            <w:tcMar>
              <w:top w:w="15" w:type="dxa"/>
              <w:bottom w:w="15" w:type="dxa"/>
            </w:tcMar>
          </w:tcPr>
          <w:p>
            <w:pPr>
              <w:spacing w:before="0" w:after="0" w:line="240" w:lineRule="auto"/>
              <w:jc w:val="left"/>
            </w:pPr>
            <w:r/>
            <w:r>
              <w:rPr>
                <w:rFonts w:ascii="Times New Roman" w:hAnsi="Times New Roman" w:eastAsia="Times New Roman"/>
                <w:b w:val="0"/>
                <w:i w:val="0"/>
                <w:sz w:val="16"/>
              </w:rPr>
              <w:t>Pengadaan pemerintah</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6"/>
              </w:rPr>
              <w:t>Deteksi anomali dapat dijelaskan</w:t>
            </w:r>
          </w:p>
        </w:tc>
        <w:tc>
          <w:tcPr>
            <w:tcW w:type="dxa" w:w="850"/>
            <w:tcMar>
              <w:top w:w="15" w:type="dxa"/>
              <w:bottom w:w="15" w:type="dxa"/>
            </w:tcMar>
          </w:tcPr>
          <w:p>
            <w:pPr>
              <w:spacing w:before="0" w:after="0" w:line="240" w:lineRule="auto"/>
              <w:jc w:val="center"/>
            </w:pPr>
            <w:r/>
            <w:r>
              <w:rPr>
                <w:rFonts w:ascii="Times New Roman" w:hAnsi="Times New Roman" w:eastAsia="Times New Roman"/>
                <w:b w:val="0"/>
                <w:i w:val="0"/>
                <w:sz w:val="16"/>
              </w:rPr>
              <w:t>Ya</w:t>
            </w:r>
          </w:p>
        </w:tc>
        <w:tc>
          <w:tcPr>
            <w:tcW w:type="dxa" w:w="1361"/>
            <w:tcMar>
              <w:top w:w="15" w:type="dxa"/>
              <w:bottom w:w="15" w:type="dxa"/>
            </w:tcMar>
          </w:tcPr>
          <w:p>
            <w:pPr>
              <w:spacing w:before="0" w:after="0" w:line="240" w:lineRule="auto"/>
              <w:jc w:val="left"/>
            </w:pPr>
            <w:r/>
            <w:r>
              <w:rPr>
                <w:rFonts w:ascii="Times New Roman" w:hAnsi="Times New Roman" w:eastAsia="Times New Roman"/>
                <w:b w:val="0"/>
                <w:i w:val="0"/>
                <w:sz w:val="16"/>
              </w:rPr>
              <w:t>Umpan balik implementasi</w:t>
            </w:r>
          </w:p>
        </w:tc>
        <w:tc>
          <w:tcPr>
            <w:tcW w:type="dxa" w:w="1191"/>
            <w:tcMar>
              <w:top w:w="15" w:type="dxa"/>
              <w:bottom w:w="15" w:type="dxa"/>
            </w:tcMar>
          </w:tcPr>
          <w:p>
            <w:pPr>
              <w:spacing w:before="0" w:after="0" w:line="240" w:lineRule="auto"/>
              <w:jc w:val="center"/>
            </w:pPr>
            <w:r/>
            <w:r>
              <w:rPr>
                <w:rFonts w:ascii="Times New Roman" w:hAnsi="Times New Roman" w:eastAsia="Times New Roman"/>
                <w:b w:val="0"/>
                <w:i w:val="0"/>
                <w:sz w:val="16"/>
              </w:rPr>
              <w:t>Tidak</w:t>
            </w:r>
          </w:p>
        </w:tc>
      </w:tr>
      <w:tr>
        <w:tc>
          <w:tcPr>
            <w:tcW w:type="dxa" w:w="1644"/>
            <w:tcMar>
              <w:top w:w="15" w:type="dxa"/>
              <w:bottom w:w="15" w:type="dxa"/>
            </w:tcMar>
          </w:tcPr>
          <w:p>
            <w:pPr>
              <w:spacing w:before="0" w:after="0" w:line="240" w:lineRule="auto"/>
              <w:jc w:val="left"/>
            </w:pPr>
            <w:r/>
            <w:r>
              <w:rPr>
                <w:rFonts w:ascii="Times New Roman" w:hAnsi="Times New Roman" w:eastAsia="Times New Roman"/>
                <w:b w:val="0"/>
                <w:i w:val="0"/>
                <w:sz w:val="16"/>
              </w:rPr>
              <w:t>Karamanou dkk. [7]</w:t>
            </w:r>
          </w:p>
        </w:tc>
        <w:tc>
          <w:tcPr>
            <w:tcW w:type="dxa" w:w="1644"/>
            <w:tcMar>
              <w:top w:w="15" w:type="dxa"/>
              <w:bottom w:w="15" w:type="dxa"/>
            </w:tcMar>
          </w:tcPr>
          <w:p>
            <w:pPr>
              <w:spacing w:before="0" w:after="0" w:line="240" w:lineRule="auto"/>
              <w:jc w:val="left"/>
            </w:pPr>
            <w:r/>
            <w:r>
              <w:rPr>
                <w:rFonts w:ascii="Times New Roman" w:hAnsi="Times New Roman" w:eastAsia="Times New Roman"/>
                <w:b w:val="0"/>
                <w:i w:val="0"/>
                <w:sz w:val="16"/>
              </w:rPr>
              <w:t>Data lalu lintas OGD, Yunani</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6"/>
              </w:rPr>
              <w:t>Isolation Forest + dekomposisi musiman</w:t>
            </w:r>
          </w:p>
        </w:tc>
        <w:tc>
          <w:tcPr>
            <w:tcW w:type="dxa" w:w="850"/>
            <w:tcMar>
              <w:top w:w="15" w:type="dxa"/>
              <w:bottom w:w="15" w:type="dxa"/>
            </w:tcMar>
          </w:tcPr>
          <w:p>
            <w:pPr>
              <w:spacing w:before="0" w:after="0" w:line="240" w:lineRule="auto"/>
              <w:jc w:val="center"/>
            </w:pPr>
            <w:r/>
            <w:r>
              <w:rPr>
                <w:rFonts w:ascii="Times New Roman" w:hAnsi="Times New Roman" w:eastAsia="Times New Roman"/>
                <w:b w:val="0"/>
                <w:i w:val="0"/>
                <w:sz w:val="16"/>
              </w:rPr>
              <w:t>Tidak</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6"/>
              </w:rPr>
              <w:t>Deskriptif</w:t>
            </w:r>
          </w:p>
        </w:tc>
        <w:tc>
          <w:tcPr>
            <w:tcW w:type="dxa" w:w="1191"/>
            <w:tcMar>
              <w:top w:w="15" w:type="dxa"/>
              <w:bottom w:w="15" w:type="dxa"/>
            </w:tcMar>
          </w:tcPr>
          <w:p>
            <w:pPr>
              <w:spacing w:before="0" w:after="0" w:line="240" w:lineRule="auto"/>
              <w:jc w:val="center"/>
            </w:pPr>
            <w:r/>
            <w:r>
              <w:rPr>
                <w:rFonts w:ascii="Times New Roman" w:hAnsi="Times New Roman" w:eastAsia="Times New Roman"/>
                <w:b w:val="0"/>
                <w:i w:val="0"/>
                <w:sz w:val="16"/>
              </w:rPr>
              <w:t>Ya</w:t>
            </w:r>
          </w:p>
        </w:tc>
      </w:tr>
      <w:tr>
        <w:tc>
          <w:tcPr>
            <w:tcW w:type="dxa" w:w="1644"/>
            <w:tcMar>
              <w:top w:w="15" w:type="dxa"/>
              <w:bottom w:w="15" w:type="dxa"/>
            </w:tcMar>
          </w:tcPr>
          <w:p>
            <w:pPr>
              <w:spacing w:before="0" w:after="0" w:line="240" w:lineRule="auto"/>
              <w:jc w:val="left"/>
            </w:pPr>
            <w:r/>
            <w:r>
              <w:rPr>
                <w:rFonts w:ascii="Times New Roman" w:hAnsi="Times New Roman" w:eastAsia="Times New Roman"/>
                <w:b w:val="0"/>
                <w:i w:val="0"/>
                <w:sz w:val="16"/>
              </w:rPr>
              <w:t>Bakumenko &amp; Elragal [24]</w:t>
            </w:r>
          </w:p>
        </w:tc>
        <w:tc>
          <w:tcPr>
            <w:tcW w:type="dxa" w:w="1644"/>
            <w:tcMar>
              <w:top w:w="15" w:type="dxa"/>
              <w:bottom w:w="15" w:type="dxa"/>
            </w:tcMar>
          </w:tcPr>
          <w:p>
            <w:pPr>
              <w:spacing w:before="0" w:after="0" w:line="240" w:lineRule="auto"/>
              <w:jc w:val="left"/>
            </w:pPr>
            <w:r/>
            <w:r>
              <w:rPr>
                <w:rFonts w:ascii="Times New Roman" w:hAnsi="Times New Roman" w:eastAsia="Times New Roman"/>
                <w:b w:val="0"/>
                <w:i w:val="0"/>
                <w:sz w:val="16"/>
              </w:rPr>
              <w:t>Data jurnal keuangan</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6"/>
              </w:rPr>
              <w:t>ML terawasi &amp; tak terawasi</w:t>
            </w:r>
          </w:p>
        </w:tc>
        <w:tc>
          <w:tcPr>
            <w:tcW w:type="dxa" w:w="850"/>
            <w:tcMar>
              <w:top w:w="15" w:type="dxa"/>
              <w:bottom w:w="15" w:type="dxa"/>
            </w:tcMar>
          </w:tcPr>
          <w:p>
            <w:pPr>
              <w:spacing w:before="0" w:after="0" w:line="240" w:lineRule="auto"/>
              <w:jc w:val="center"/>
            </w:pPr>
            <w:r/>
            <w:r>
              <w:rPr>
                <w:rFonts w:ascii="Times New Roman" w:hAnsi="Times New Roman" w:eastAsia="Times New Roman"/>
                <w:b w:val="0"/>
                <w:i w:val="0"/>
                <w:sz w:val="16"/>
              </w:rPr>
              <w:t>Tidak</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6"/>
              </w:rPr>
              <w:t>Label anomali</w:t>
            </w:r>
          </w:p>
        </w:tc>
        <w:tc>
          <w:tcPr>
            <w:tcW w:type="dxa" w:w="1191"/>
            <w:tcMar>
              <w:top w:w="15" w:type="dxa"/>
              <w:bottom w:w="15" w:type="dxa"/>
            </w:tcMar>
          </w:tcPr>
          <w:p>
            <w:pPr>
              <w:spacing w:before="0" w:after="0" w:line="240" w:lineRule="auto"/>
              <w:jc w:val="center"/>
            </w:pPr>
            <w:r/>
            <w:r>
              <w:rPr>
                <w:rFonts w:ascii="Times New Roman" w:hAnsi="Times New Roman" w:eastAsia="Times New Roman"/>
                <w:b w:val="0"/>
                <w:i w:val="0"/>
                <w:sz w:val="16"/>
              </w:rPr>
              <w:t>Tidak</w:t>
            </w:r>
          </w:p>
        </w:tc>
      </w:tr>
      <w:tr>
        <w:tc>
          <w:tcPr>
            <w:tcW w:type="dxa" w:w="1644"/>
            <w:tcMar>
              <w:top w:w="15" w:type="dxa"/>
              <w:bottom w:w="15" w:type="dxa"/>
            </w:tcMar>
          </w:tcPr>
          <w:p>
            <w:pPr>
              <w:spacing w:before="0" w:after="0" w:line="240" w:lineRule="auto"/>
              <w:jc w:val="left"/>
            </w:pPr>
            <w:r/>
            <w:r>
              <w:rPr>
                <w:rFonts w:ascii="Times New Roman" w:hAnsi="Times New Roman" w:eastAsia="Times New Roman"/>
                <w:b w:val="0"/>
                <w:i w:val="0"/>
                <w:sz w:val="16"/>
              </w:rPr>
              <w:t>Carcillo dkk. [23]</w:t>
            </w:r>
          </w:p>
        </w:tc>
        <w:tc>
          <w:tcPr>
            <w:tcW w:type="dxa" w:w="1644"/>
            <w:tcMar>
              <w:top w:w="15" w:type="dxa"/>
              <w:bottom w:w="15" w:type="dxa"/>
            </w:tcMar>
          </w:tcPr>
          <w:p>
            <w:pPr>
              <w:spacing w:before="0" w:after="0" w:line="240" w:lineRule="auto"/>
              <w:jc w:val="left"/>
            </w:pPr>
            <w:r/>
            <w:r>
              <w:rPr>
                <w:rFonts w:ascii="Times New Roman" w:hAnsi="Times New Roman" w:eastAsia="Times New Roman"/>
                <w:b w:val="0"/>
                <w:i w:val="0"/>
                <w:sz w:val="16"/>
              </w:rPr>
              <w:t>Transaksi kartu kredit</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6"/>
              </w:rPr>
              <w:t>Skor outlier + klasifikasi terawasi</w:t>
            </w:r>
          </w:p>
        </w:tc>
        <w:tc>
          <w:tcPr>
            <w:tcW w:type="dxa" w:w="850"/>
            <w:tcMar>
              <w:top w:w="15" w:type="dxa"/>
              <w:bottom w:w="15" w:type="dxa"/>
            </w:tcMar>
          </w:tcPr>
          <w:p>
            <w:pPr>
              <w:spacing w:before="0" w:after="0" w:line="240" w:lineRule="auto"/>
              <w:jc w:val="center"/>
            </w:pPr>
            <w:r/>
            <w:r>
              <w:rPr>
                <w:rFonts w:ascii="Times New Roman" w:hAnsi="Times New Roman" w:eastAsia="Times New Roman"/>
                <w:b w:val="0"/>
                <w:i w:val="0"/>
                <w:sz w:val="16"/>
              </w:rPr>
              <w:t>Tidak</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6"/>
              </w:rPr>
              <w:t>Label fraud</w:t>
            </w:r>
          </w:p>
        </w:tc>
        <w:tc>
          <w:tcPr>
            <w:tcW w:type="dxa" w:w="1191"/>
            <w:tcMar>
              <w:top w:w="15" w:type="dxa"/>
              <w:bottom w:w="15" w:type="dxa"/>
            </w:tcMar>
          </w:tcPr>
          <w:p>
            <w:pPr>
              <w:spacing w:before="0" w:after="0" w:line="240" w:lineRule="auto"/>
              <w:jc w:val="center"/>
            </w:pPr>
            <w:r/>
            <w:r>
              <w:rPr>
                <w:rFonts w:ascii="Times New Roman" w:hAnsi="Times New Roman" w:eastAsia="Times New Roman"/>
                <w:b w:val="0"/>
                <w:i w:val="0"/>
                <w:sz w:val="16"/>
              </w:rPr>
              <w:t>Tidak</w:t>
            </w:r>
          </w:p>
        </w:tc>
      </w:tr>
      <w:tr>
        <w:tc>
          <w:tcPr>
            <w:tcW w:type="dxa" w:w="1644"/>
            <w:tcMar>
              <w:top w:w="15" w:type="dxa"/>
              <w:bottom w:w="15" w:type="dxa"/>
            </w:tcMar>
          </w:tcPr>
          <w:p>
            <w:pPr>
              <w:spacing w:before="0" w:after="0" w:line="240" w:lineRule="auto"/>
              <w:jc w:val="left"/>
            </w:pPr>
            <w:r/>
            <w:r>
              <w:rPr>
                <w:rFonts w:ascii="Times New Roman" w:hAnsi="Times New Roman" w:eastAsia="Times New Roman"/>
                <w:b w:val="0"/>
                <w:i w:val="0"/>
                <w:sz w:val="16"/>
              </w:rPr>
              <w:t>Kurniasari dkk. [4]</w:t>
            </w:r>
          </w:p>
        </w:tc>
        <w:tc>
          <w:tcPr>
            <w:tcW w:type="dxa" w:w="1644"/>
            <w:tcMar>
              <w:top w:w="15" w:type="dxa"/>
              <w:bottom w:w="15" w:type="dxa"/>
            </w:tcMar>
          </w:tcPr>
          <w:p>
            <w:pPr>
              <w:spacing w:before="0" w:after="0" w:line="240" w:lineRule="auto"/>
              <w:jc w:val="left"/>
            </w:pPr>
            <w:r/>
            <w:r>
              <w:rPr>
                <w:rFonts w:ascii="Times New Roman" w:hAnsi="Times New Roman" w:eastAsia="Times New Roman"/>
                <w:b w:val="0"/>
                <w:i w:val="0"/>
                <w:sz w:val="16"/>
              </w:rPr>
              <w:t>Realisasi BBNKB, Lampung</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6"/>
              </w:rPr>
              <w:t>Jaringan saraf tiruan (prediksi)</w:t>
            </w:r>
          </w:p>
        </w:tc>
        <w:tc>
          <w:tcPr>
            <w:tcW w:type="dxa" w:w="850"/>
            <w:tcMar>
              <w:top w:w="15" w:type="dxa"/>
              <w:bottom w:w="15" w:type="dxa"/>
            </w:tcMar>
          </w:tcPr>
          <w:p>
            <w:pPr>
              <w:spacing w:before="0" w:after="0" w:line="240" w:lineRule="auto"/>
              <w:jc w:val="center"/>
            </w:pPr>
            <w:r/>
            <w:r>
              <w:rPr>
                <w:rFonts w:ascii="Times New Roman" w:hAnsi="Times New Roman" w:eastAsia="Times New Roman"/>
                <w:b w:val="0"/>
                <w:i w:val="0"/>
                <w:sz w:val="16"/>
              </w:rPr>
              <w:t>Tidak</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6"/>
              </w:rPr>
              <w:t>Galat prediksi</w:t>
            </w:r>
          </w:p>
        </w:tc>
        <w:tc>
          <w:tcPr>
            <w:tcW w:type="dxa" w:w="1191"/>
            <w:tcMar>
              <w:top w:w="15" w:type="dxa"/>
              <w:bottom w:w="15" w:type="dxa"/>
            </w:tcMar>
          </w:tcPr>
          <w:p>
            <w:pPr>
              <w:spacing w:before="0" w:after="0" w:line="240" w:lineRule="auto"/>
              <w:jc w:val="center"/>
            </w:pPr>
            <w:r/>
            <w:r>
              <w:rPr>
                <w:rFonts w:ascii="Times New Roman" w:hAnsi="Times New Roman" w:eastAsia="Times New Roman"/>
                <w:b w:val="0"/>
                <w:i w:val="0"/>
                <w:sz w:val="16"/>
              </w:rPr>
              <w:t>Tidak</w:t>
            </w:r>
          </w:p>
        </w:tc>
      </w:tr>
      <w:tr>
        <w:tc>
          <w:tcPr>
            <w:tcW w:type="dxa" w:w="1644"/>
            <w:tcMar>
              <w:top w:w="15" w:type="dxa"/>
              <w:bottom w:w="15" w:type="dxa"/>
            </w:tcMar>
          </w:tcPr>
          <w:p>
            <w:pPr>
              <w:spacing w:before="0" w:after="0" w:line="240" w:lineRule="auto"/>
              <w:jc w:val="left"/>
            </w:pPr>
            <w:r/>
            <w:r>
              <w:rPr>
                <w:rFonts w:ascii="Times New Roman" w:hAnsi="Times New Roman" w:eastAsia="Times New Roman"/>
                <w:b/>
                <w:i w:val="0"/>
                <w:sz w:val="16"/>
              </w:rPr>
              <w:t>Penelitian ini</w:t>
            </w:r>
          </w:p>
        </w:tc>
        <w:tc>
          <w:tcPr>
            <w:tcW w:type="dxa" w:w="1644"/>
            <w:tcMar>
              <w:top w:w="15" w:type="dxa"/>
              <w:bottom w:w="15" w:type="dxa"/>
            </w:tcMar>
          </w:tcPr>
          <w:p>
            <w:pPr>
              <w:spacing w:before="0" w:after="0" w:line="240" w:lineRule="auto"/>
              <w:jc w:val="left"/>
            </w:pPr>
            <w:r/>
            <w:r>
              <w:rPr>
                <w:rFonts w:ascii="Times New Roman" w:hAnsi="Times New Roman" w:eastAsia="Times New Roman"/>
                <w:b/>
                <w:i w:val="0"/>
                <w:sz w:val="16"/>
              </w:rPr>
              <w:t>Transaksi PKB SAMSAT Banten 2021–2024</w:t>
            </w:r>
          </w:p>
        </w:tc>
        <w:tc>
          <w:tcPr>
            <w:tcW w:type="dxa" w:w="2041"/>
            <w:tcMar>
              <w:top w:w="15" w:type="dxa"/>
              <w:bottom w:w="15" w:type="dxa"/>
            </w:tcMar>
          </w:tcPr>
          <w:p>
            <w:pPr>
              <w:spacing w:before="0" w:after="0" w:line="240" w:lineRule="auto"/>
              <w:jc w:val="left"/>
            </w:pPr>
            <w:r/>
            <w:r>
              <w:rPr>
                <w:rFonts w:ascii="Times New Roman" w:hAnsi="Times New Roman" w:eastAsia="Times New Roman"/>
                <w:b/>
                <w:i w:val="0"/>
                <w:sz w:val="16"/>
              </w:rPr>
              <w:t>11 aturan + IF/LOF/AE, fusi maksimum, skor hibrida</w:t>
            </w:r>
          </w:p>
        </w:tc>
        <w:tc>
          <w:tcPr>
            <w:tcW w:type="dxa" w:w="850"/>
            <w:tcMar>
              <w:top w:w="15" w:type="dxa"/>
              <w:bottom w:w="15" w:type="dxa"/>
            </w:tcMar>
          </w:tcPr>
          <w:p>
            <w:pPr>
              <w:spacing w:before="0" w:after="0" w:line="240" w:lineRule="auto"/>
              <w:jc w:val="center"/>
            </w:pPr>
            <w:r/>
            <w:r>
              <w:rPr>
                <w:rFonts w:ascii="Times New Roman" w:hAnsi="Times New Roman" w:eastAsia="Times New Roman"/>
                <w:b/>
                <w:i w:val="0"/>
                <w:sz w:val="16"/>
              </w:rPr>
              <w:t>Ya</w:t>
            </w:r>
          </w:p>
        </w:tc>
        <w:tc>
          <w:tcPr>
            <w:tcW w:type="dxa" w:w="1361"/>
            <w:tcMar>
              <w:top w:w="15" w:type="dxa"/>
              <w:bottom w:w="15" w:type="dxa"/>
            </w:tcMar>
          </w:tcPr>
          <w:p>
            <w:pPr>
              <w:spacing w:before="0" w:after="0" w:line="240" w:lineRule="auto"/>
              <w:jc w:val="left"/>
            </w:pPr>
            <w:r/>
            <w:r>
              <w:rPr>
                <w:rFonts w:ascii="Times New Roman" w:hAnsi="Times New Roman" w:eastAsia="Times New Roman"/>
                <w:b/>
                <w:i w:val="0"/>
                <w:sz w:val="16"/>
              </w:rPr>
              <w:t>Injeksi 8 tipe × 10 ulangan, uji temporal</w:t>
            </w:r>
          </w:p>
        </w:tc>
        <w:tc>
          <w:tcPr>
            <w:tcW w:type="dxa" w:w="1191"/>
            <w:tcMar>
              <w:top w:w="15" w:type="dxa"/>
              <w:bottom w:w="15" w:type="dxa"/>
            </w:tcMar>
          </w:tcPr>
          <w:p>
            <w:pPr>
              <w:spacing w:before="0" w:after="0" w:line="240" w:lineRule="auto"/>
              <w:jc w:val="left"/>
            </w:pPr>
            <w:r/>
            <w:r>
              <w:rPr>
                <w:rFonts w:ascii="Times New Roman" w:hAnsi="Times New Roman" w:eastAsia="Times New Roman"/>
                <w:b/>
                <w:i w:val="0"/>
                <w:sz w:val="16"/>
              </w:rPr>
              <w:t>Ya (6 dimensi + JSD kode)</w:t>
            </w:r>
          </w:p>
        </w:tc>
      </w:tr>
    </w:tbl>
    <w:p>
      <w:pPr>
        <w:spacing w:before="0" w:after="0" w:line="240" w:lineRule="auto"/>
        <w:jc w:val="both"/>
      </w:pPr>
    </w:p>
    <w:p>
      <w:pPr>
        <w:spacing w:before="0" w:after="0" w:line="240" w:lineRule="auto"/>
        <w:jc w:val="both"/>
      </w:pPr>
      <w:r>
        <w:rPr>
          <w:rFonts w:ascii="Times New Roman" w:hAnsi="Times New Roman" w:eastAsia="Times New Roman"/>
          <w:b/>
          <w:i w:val="0"/>
          <w:sz w:val="20"/>
        </w:rPr>
        <w:t>Solusi yang diusulkan dan kebaruan.</w:t>
      </w:r>
      <w:r>
        <w:rPr>
          <w:rFonts w:ascii="Times New Roman" w:hAnsi="Times New Roman" w:eastAsia="Times New Roman"/>
          <w:b w:val="0"/>
          <w:i w:val="0"/>
          <w:sz w:val="20"/>
        </w:rPr>
        <w:t xml:space="preserve"> Penelitian ini mengusulkan kerangka hibrida tiga lapis untuk transaksi SAMSAT: lapis pertama adalah mesin aturan domain R01–R11 yang profil kodenya diturunkan dari data referensi; lapis kedua adalah ensemble Isolation Forest, LOF, dan autoencoder dengan fusi maksimum persentil; lapis ketiga menggabungkan keduanya menjadi daftar prioritas audit beserta kode alasan. Kebaruannya adalah: (1) katalog aturan kualitas data PKB yang dapat dioperasionalkan dan dipetakan ke enam dimensi kualitas data; (2) deteksi dan harmonisasi pergeseran skema kode berbasis Jensen–Shannon divergence sebelum aturan dan model dijalankan; (3) fitur berbasis domain (rasio denda, z-skor nilai per jenis, rasio BBNKB/PKB) yang terbukti meningkatkan detektor tak terawasi; dan (4) protokol evaluasi tanpa label menggunakan delapan tipe anomali injeksi, sepuluh ulangan, validasi temporal, dan uji Friedman–Wilcoxon.</w:t>
      </w:r>
    </w:p>
    <w:p>
      <w:pPr>
        <w:spacing w:before="0" w:after="0" w:line="240" w:lineRule="auto"/>
        <w:jc w:val="both"/>
      </w:pPr>
    </w:p>
    <w:p>
      <w:pPr>
        <w:keepNext/>
        <w:spacing w:before="0" w:after="60" w:line="240" w:lineRule="auto"/>
        <w:jc w:val="left"/>
      </w:pPr>
      <w:r>
        <w:rPr>
          <w:rFonts w:ascii="Times New Roman" w:hAnsi="Times New Roman" w:eastAsia="Times New Roman"/>
          <w:b/>
          <w:i w:val="0"/>
          <w:sz w:val="20"/>
        </w:rPr>
        <w:t>2. Metodologi</w:t>
      </w:r>
    </w:p>
    <w:p>
      <w:pPr>
        <w:spacing w:before="0" w:after="0" w:line="240" w:lineRule="auto"/>
        <w:jc w:val="both"/>
      </w:pPr>
      <w:r>
        <w:rPr>
          <w:rFonts w:ascii="Times New Roman" w:hAnsi="Times New Roman" w:eastAsia="Times New Roman"/>
          <w:b w:val="0"/>
          <w:i w:val="0"/>
          <w:sz w:val="20"/>
        </w:rPr>
        <w:t>Tahapan penelitian ditunjukkan pada Gambar 1. Seluruh eksperimen dijalankan dengan Python (pandas, scikit-learn 1.9.1) dengan benih acak 42, dan diperiksa ulang di Google Colab menggunakan notebook yang identik dengan skrip.</w:t>
      </w:r>
    </w:p>
    <w:p>
      <w:pPr>
        <w:keepNext/>
        <w:spacing w:before="80" w:after="0" w:line="240" w:lineRule="auto"/>
        <w:jc w:val="center"/>
      </w:pPr>
      <w:r>
        <w:drawing>
          <wp:inline xmlns:a="http://schemas.openxmlformats.org/drawingml/2006/main" xmlns:pic="http://schemas.openxmlformats.org/drawingml/2006/picture">
            <wp:extent cx="3960000" cy="5681933"/>
            <wp:docPr id="1" name="Picture 1"/>
            <wp:cNvGraphicFramePr>
              <a:graphicFrameLocks noChangeAspect="1"/>
            </wp:cNvGraphicFramePr>
            <a:graphic>
              <a:graphicData uri="http://schemas.openxmlformats.org/drawingml/2006/picture">
                <pic:pic>
                  <pic:nvPicPr>
                    <pic:cNvPr id="0" name="F01_flowchart_metode.png"/>
                    <pic:cNvPicPr/>
                  </pic:nvPicPr>
                  <pic:blipFill>
                    <a:blip r:embed="rId13"/>
                    <a:stretch>
                      <a:fillRect/>
                    </a:stretch>
                  </pic:blipFill>
                  <pic:spPr>
                    <a:xfrm>
                      <a:off x="0" y="0"/>
                      <a:ext cx="3960000" cy="5681933"/>
                    </a:xfrm>
                    <a:prstGeom prst="rect"/>
                  </pic:spPr>
                </pic:pic>
              </a:graphicData>
            </a:graphic>
          </wp:inline>
        </w:drawing>
      </w:r>
    </w:p>
    <w:p>
      <w:pPr>
        <w:spacing w:before="0" w:after="80" w:line="240" w:lineRule="auto"/>
        <w:jc w:val="center"/>
      </w:pPr>
      <w:r>
        <w:rPr>
          <w:rFonts w:ascii="Times New Roman" w:hAnsi="Times New Roman" w:eastAsia="Times New Roman"/>
          <w:b w:val="0"/>
          <w:i w:val="0"/>
          <w:sz w:val="18"/>
        </w:rPr>
        <w:t>Gambar 1: Diagram alir metode penelitian (tiga lapis deteksi dan evaluasi)</w:t>
      </w:r>
    </w:p>
    <w:p>
      <w:pPr>
        <w:keepNext/>
        <w:spacing w:before="80" w:after="40" w:line="240" w:lineRule="auto"/>
        <w:jc w:val="left"/>
      </w:pPr>
      <w:r>
        <w:rPr>
          <w:rFonts w:ascii="Times New Roman" w:hAnsi="Times New Roman" w:eastAsia="Times New Roman"/>
          <w:b/>
          <w:i w:val="0"/>
          <w:sz w:val="20"/>
        </w:rPr>
        <w:t>2.1 Data dan pra-pemrosesan</w:t>
      </w:r>
    </w:p>
    <w:p>
      <w:pPr>
        <w:spacing w:before="0" w:after="0" w:line="240" w:lineRule="auto"/>
        <w:jc w:val="both"/>
      </w:pPr>
      <w:r>
        <w:rPr>
          <w:rFonts w:ascii="Times New Roman" w:hAnsi="Times New Roman" w:eastAsia="Times New Roman"/>
          <w:b w:val="0"/>
          <w:i w:val="0"/>
          <w:sz w:val="20"/>
        </w:rPr>
        <w:t>Data berasal dari ekspor ISQL-WEB SAMSAT Banten periode Mei–Juni 2021, 2022, 2023, dan 2024 (empat berkas, 193.913 baris). Setelah membuang 14 baris judul/pengulang header, diperoleh 193.899 transaksi dengan 24 atribut: kode status, jenis permohonan (kd_jen_mohon), jenis mutasi (kd_jen_mutasi), lokasi, kabupaten/kota, jenis kendaraan (kd_jenis_kb), merek, tanggal bayar, pokok dan denda BBNKB, pokok dan denda PKB tahun berjalan, serta pokok dan denda tunggakan lima tahun. Nomor polisi hanya dipakai untuk memeriksa format dan duplikasi, kemudian diganti pseudonim SHA-256; nama dan alamat tidak pernah diolah. Data diperoleh melalui petugas SAMSAT untuk keperluan eksperimen dan dianalisis dalam bentuk terpseudonimisasi.</w:t>
      </w:r>
    </w:p>
    <w:p>
      <w:pPr>
        <w:keepNext/>
        <w:spacing w:before="80" w:after="40" w:line="240" w:lineRule="auto"/>
        <w:jc w:val="left"/>
      </w:pPr>
      <w:r>
        <w:rPr>
          <w:rFonts w:ascii="Times New Roman" w:hAnsi="Times New Roman" w:eastAsia="Times New Roman"/>
          <w:b/>
          <w:i w:val="0"/>
          <w:sz w:val="20"/>
        </w:rPr>
        <w:t>2.2 Deteksi pergeseran skema kode</w:t>
      </w:r>
    </w:p>
    <w:p>
      <w:pPr>
        <w:spacing w:before="0" w:after="0" w:line="240" w:lineRule="auto"/>
        <w:jc w:val="both"/>
      </w:pPr>
      <w:r>
        <w:rPr>
          <w:rFonts w:ascii="Times New Roman" w:hAnsi="Times New Roman" w:eastAsia="Times New Roman"/>
          <w:b w:val="0"/>
          <w:i w:val="0"/>
          <w:sz w:val="20"/>
        </w:rPr>
        <w:t xml:space="preserve">Distribusi setiap atribut kategorikal pada tahun </w:t>
      </w:r>
      <w:r>
        <w:rPr>
          <w:rFonts w:ascii="Times New Roman" w:hAnsi="Times New Roman" w:eastAsia="Times New Roman"/>
          <w:b w:val="0"/>
          <w:i/>
          <w:sz w:val="20"/>
        </w:rPr>
        <w:t>y</w:t>
      </w:r>
      <w:r>
        <w:rPr>
          <w:rFonts w:ascii="Times New Roman" w:hAnsi="Times New Roman" w:eastAsia="Times New Roman"/>
          <w:b w:val="0"/>
          <w:i w:val="0"/>
          <w:sz w:val="20"/>
        </w:rPr>
        <w:t xml:space="preserve"> dibandingkan dengan tahun referensi lain menggunakan Jensen–Shannon divergence (JSD) berbasis log</w:t>
      </w:r>
      <w:r>
        <w:rPr>
          <w:rFonts w:ascii="Times New Roman" w:hAnsi="Times New Roman" w:eastAsia="Times New Roman"/>
          <w:b w:val="0"/>
          <w:i w:val="0"/>
          <w:sz w:val="20"/>
          <w:vertAlign w:val="subscript"/>
        </w:rPr>
        <w:t>2</w:t>
      </w:r>
      <w:r>
        <w:rPr>
          <w:rFonts w:ascii="Times New Roman" w:hAnsi="Times New Roman" w:eastAsia="Times New Roman"/>
          <w:b w:val="0"/>
          <w:i w:val="0"/>
          <w:sz w:val="20"/>
        </w:rPr>
        <w:t xml:space="preserve"> (nilai 0–1):</w:t>
      </w:r>
    </w:p>
    <w:tbl>
      <w:tblPr>
        <w:tblW w:type="auto" w:w="0"/>
        <w:jc w:val="center"/>
        <w:tblLook w:firstColumn="1" w:firstRow="1" w:lastColumn="0" w:lastRow="0" w:noHBand="0" w:noVBand="1" w:val="04A0"/>
      </w:tblPr>
      <w:tblGrid>
        <w:gridCol w:w="7937"/>
        <w:gridCol w:w="794"/>
      </w:tblGrid>
      <w:tr>
        <w:tc>
          <w:tcPr>
            <w:tcW w:type="dxa" w:w="7937"/>
          </w:tcPr>
          <w:p>
            <w:pPr>
              <w:spacing w:before="40" w:after="40" w:line="240" w:lineRule="auto"/>
              <w:jc w:val="center"/>
            </w:pPr>
            <w:r>
              <w:rPr>
                <w:rFonts w:ascii="Times New Roman" w:hAnsi="Times New Roman" w:eastAsia="Times New Roman"/>
                <w:b w:val="0"/>
                <w:i w:val="0"/>
                <w:sz w:val="20"/>
              </w:rPr>
              <w:t>JSD(P‖Q) = ½·KL(P‖M) + ½·KL(Q‖M),   M = ½(P + Q)</w:t>
            </w:r>
          </w:p>
        </w:tc>
        <w:tc>
          <w:tcPr>
            <w:tcW w:type="dxa" w:w="794"/>
          </w:tcPr>
          <w:p>
            <w:pPr>
              <w:spacing w:before="40" w:after="40" w:line="240" w:lineRule="auto"/>
              <w:jc w:val="right"/>
            </w:pPr>
            <w:r>
              <w:rPr>
                <w:rFonts w:ascii="Times New Roman" w:hAnsi="Times New Roman" w:eastAsia="Times New Roman"/>
                <w:b w:val="0"/>
                <w:i w:val="0"/>
                <w:sz w:val="20"/>
              </w:rPr>
              <w:t>(1)</w:t>
            </w:r>
          </w:p>
        </w:tc>
      </w:tr>
    </w:tbl>
    <w:p>
      <w:pPr>
        <w:spacing w:before="0" w:after="0" w:line="240" w:lineRule="auto"/>
        <w:jc w:val="both"/>
      </w:pPr>
      <w:r>
        <w:rPr>
          <w:rFonts w:ascii="Times New Roman" w:hAnsi="Times New Roman" w:eastAsia="Times New Roman"/>
          <w:b w:val="0"/>
          <w:i w:val="0"/>
          <w:sz w:val="20"/>
        </w:rPr>
        <w:t>Kode yang muncul atau hilang serentak dengan volume setara diperlakukan sebagai pengodean ulang dan diharmonisasi sebelum aturan dan model dijalankan (Subbab 3.1).</w:t>
      </w:r>
    </w:p>
    <w:p>
      <w:pPr>
        <w:keepNext/>
        <w:spacing w:before="80" w:after="40" w:line="240" w:lineRule="auto"/>
        <w:jc w:val="left"/>
      </w:pPr>
      <w:r>
        <w:rPr>
          <w:rFonts w:ascii="Times New Roman" w:hAnsi="Times New Roman" w:eastAsia="Times New Roman"/>
          <w:b/>
          <w:i w:val="0"/>
          <w:sz w:val="20"/>
        </w:rPr>
        <w:t>2.3 Mesin aturan domain</w:t>
      </w:r>
    </w:p>
    <w:p>
      <w:pPr>
        <w:spacing w:before="0" w:after="0" w:line="240" w:lineRule="auto"/>
        <w:jc w:val="both"/>
      </w:pPr>
      <w:r>
        <w:rPr>
          <w:rFonts w:ascii="Times New Roman" w:hAnsi="Times New Roman" w:eastAsia="Times New Roman"/>
          <w:b w:val="0"/>
          <w:i w:val="0"/>
          <w:sz w:val="20"/>
        </w:rPr>
        <w:t>Sebelas aturan (Tabel 2) disusun dari logika tarif PKB dan pola kode pada tahun referensi 2021–2023, lalu dipetakan ke dimensi konsistensi, akurasi, plausibilitas, dan keunikan [5]. Karena kamus kode resmi tidak tersedia, konsistensi kode (R07, R08) diturunkan dari data: pasangan kode permohonan–mutasi yang porsinya &lt; 0,5% dalam kode permohonannya (atau n &lt; 30) dianggap tidak lazim, sedangkan pasangan yang ≥ 95% (≤ 5%) disertai BBNKB menjadi acuan wajib (tanpa) BBNKB. Kejanggalan nilai PKB terhadap jenis kendaraan (R09) memakai z-skor robust:</w:t>
      </w:r>
    </w:p>
    <w:tbl>
      <w:tblPr>
        <w:tblW w:type="auto" w:w="0"/>
        <w:jc w:val="center"/>
        <w:tblLook w:firstColumn="1" w:firstRow="1" w:lastColumn="0" w:lastRow="0" w:noHBand="0" w:noVBand="1" w:val="04A0"/>
      </w:tblPr>
      <w:tblGrid>
        <w:gridCol w:w="7937"/>
        <w:gridCol w:w="794"/>
      </w:tblGrid>
      <w:tr>
        <w:tc>
          <w:tcPr>
            <w:tcW w:type="dxa" w:w="7937"/>
          </w:tcPr>
          <w:p>
            <w:pPr>
              <w:spacing w:before="40" w:after="40" w:line="240" w:lineRule="auto"/>
              <w:jc w:val="center"/>
            </w:pPr>
            <w:r>
              <w:rPr>
                <w:rFonts w:ascii="Times New Roman" w:hAnsi="Times New Roman" w:eastAsia="Times New Roman"/>
                <w:b w:val="0"/>
                <w:i w:val="0"/>
                <w:sz w:val="20"/>
              </w:rPr>
              <w:t>z</w:t>
            </w:r>
            <w:r>
              <w:rPr>
                <w:rFonts w:ascii="Times New Roman" w:hAnsi="Times New Roman" w:eastAsia="Times New Roman"/>
                <w:b w:val="0"/>
                <w:i w:val="0"/>
                <w:sz w:val="20"/>
                <w:vertAlign w:val="subscript"/>
              </w:rPr>
              <w:t>i</w:t>
            </w:r>
            <w:r>
              <w:rPr>
                <w:rFonts w:ascii="Times New Roman" w:hAnsi="Times New Roman" w:eastAsia="Times New Roman"/>
                <w:b w:val="0"/>
                <w:i w:val="0"/>
                <w:sz w:val="20"/>
              </w:rPr>
              <w:t xml:space="preserve"> = (log</w:t>
            </w:r>
            <w:r>
              <w:rPr>
                <w:rFonts w:ascii="Times New Roman" w:hAnsi="Times New Roman" w:eastAsia="Times New Roman"/>
                <w:b w:val="0"/>
                <w:i w:val="0"/>
                <w:sz w:val="20"/>
                <w:vertAlign w:val="subscript"/>
              </w:rPr>
              <w:t>10</w:t>
            </w:r>
            <w:r>
              <w:rPr>
                <w:rFonts w:ascii="Times New Roman" w:hAnsi="Times New Roman" w:eastAsia="Times New Roman"/>
                <w:b w:val="0"/>
                <w:i w:val="0"/>
                <w:sz w:val="20"/>
              </w:rPr>
              <w:t xml:space="preserve"> PKB</w:t>
            </w:r>
            <w:r>
              <w:rPr>
                <w:rFonts w:ascii="Times New Roman" w:hAnsi="Times New Roman" w:eastAsia="Times New Roman"/>
                <w:b w:val="0"/>
                <w:i w:val="0"/>
                <w:sz w:val="20"/>
                <w:vertAlign w:val="subscript"/>
              </w:rPr>
              <w:t>i</w:t>
            </w:r>
            <w:r>
              <w:rPr>
                <w:rFonts w:ascii="Times New Roman" w:hAnsi="Times New Roman" w:eastAsia="Times New Roman"/>
                <w:b w:val="0"/>
                <w:i w:val="0"/>
                <w:sz w:val="20"/>
              </w:rPr>
              <w:t xml:space="preserve"> − med</w:t>
            </w:r>
            <w:r>
              <w:rPr>
                <w:rFonts w:ascii="Times New Roman" w:hAnsi="Times New Roman" w:eastAsia="Times New Roman"/>
                <w:b w:val="0"/>
                <w:i w:val="0"/>
                <w:sz w:val="20"/>
                <w:vertAlign w:val="subscript"/>
              </w:rPr>
              <w:t>g</w:t>
            </w:r>
            <w:r>
              <w:rPr>
                <w:rFonts w:ascii="Times New Roman" w:hAnsi="Times New Roman" w:eastAsia="Times New Roman"/>
                <w:b w:val="0"/>
                <w:i w:val="0"/>
                <w:sz w:val="20"/>
              </w:rPr>
              <w:t>) / max(MAD</w:t>
            </w:r>
            <w:r>
              <w:rPr>
                <w:rFonts w:ascii="Times New Roman" w:hAnsi="Times New Roman" w:eastAsia="Times New Roman"/>
                <w:b w:val="0"/>
                <w:i w:val="0"/>
                <w:sz w:val="20"/>
                <w:vertAlign w:val="subscript"/>
              </w:rPr>
              <w:t>g</w:t>
            </w:r>
            <w:r>
              <w:rPr>
                <w:rFonts w:ascii="Times New Roman" w:hAnsi="Times New Roman" w:eastAsia="Times New Roman"/>
                <w:b w:val="0"/>
                <w:i w:val="0"/>
                <w:sz w:val="20"/>
              </w:rPr>
              <w:t>, 0,05),   |z</w:t>
            </w:r>
            <w:r>
              <w:rPr>
                <w:rFonts w:ascii="Times New Roman" w:hAnsi="Times New Roman" w:eastAsia="Times New Roman"/>
                <w:b w:val="0"/>
                <w:i w:val="0"/>
                <w:sz w:val="20"/>
                <w:vertAlign w:val="subscript"/>
              </w:rPr>
              <w:t>i</w:t>
            </w:r>
            <w:r>
              <w:rPr>
                <w:rFonts w:ascii="Times New Roman" w:hAnsi="Times New Roman" w:eastAsia="Times New Roman"/>
                <w:b w:val="0"/>
                <w:i w:val="0"/>
                <w:sz w:val="20"/>
              </w:rPr>
              <w:t>| &gt; 3,5 ⇒ R09</w:t>
            </w:r>
          </w:p>
        </w:tc>
        <w:tc>
          <w:tcPr>
            <w:tcW w:type="dxa" w:w="794"/>
          </w:tcPr>
          <w:p>
            <w:pPr>
              <w:spacing w:before="40" w:after="40" w:line="240" w:lineRule="auto"/>
              <w:jc w:val="right"/>
            </w:pPr>
            <w:r>
              <w:rPr>
                <w:rFonts w:ascii="Times New Roman" w:hAnsi="Times New Roman" w:eastAsia="Times New Roman"/>
                <w:b w:val="0"/>
                <w:i w:val="0"/>
                <w:sz w:val="20"/>
              </w:rPr>
              <w:t>(2)</w:t>
            </w:r>
          </w:p>
        </w:tc>
      </w:tr>
    </w:tbl>
    <w:p>
      <w:pPr>
        <w:spacing w:before="0" w:after="0" w:line="240" w:lineRule="auto"/>
        <w:jc w:val="both"/>
      </w:pPr>
      <w:r>
        <w:rPr>
          <w:rFonts w:ascii="Times New Roman" w:hAnsi="Times New Roman" w:eastAsia="Times New Roman"/>
          <w:b w:val="0"/>
          <w:i w:val="0"/>
          <w:sz w:val="20"/>
        </w:rPr>
        <w:t xml:space="preserve">dengan </w:t>
      </w:r>
      <w:r>
        <w:rPr>
          <w:rFonts w:ascii="Times New Roman" w:hAnsi="Times New Roman" w:eastAsia="Times New Roman"/>
          <w:b w:val="0"/>
          <w:i/>
          <w:sz w:val="20"/>
        </w:rPr>
        <w:t>g</w:t>
      </w:r>
      <w:r>
        <w:rPr>
          <w:rFonts w:ascii="Times New Roman" w:hAnsi="Times New Roman" w:eastAsia="Times New Roman"/>
          <w:b w:val="0"/>
          <w:i w:val="0"/>
          <w:sz w:val="20"/>
        </w:rPr>
        <w:t xml:space="preserve"> adalah kode jenis kendaraan, med</w:t>
      </w:r>
      <w:r>
        <w:rPr>
          <w:rFonts w:ascii="Times New Roman" w:hAnsi="Times New Roman" w:eastAsia="Times New Roman"/>
          <w:b w:val="0"/>
          <w:i w:val="0"/>
          <w:sz w:val="20"/>
          <w:vertAlign w:val="subscript"/>
        </w:rPr>
        <w:t>g</w:t>
      </w:r>
      <w:r>
        <w:rPr>
          <w:rFonts w:ascii="Times New Roman" w:hAnsi="Times New Roman" w:eastAsia="Times New Roman"/>
          <w:b w:val="0"/>
          <w:i w:val="0"/>
          <w:sz w:val="20"/>
        </w:rPr>
        <w:t xml:space="preserve"> median dan MAD</w:t>
      </w:r>
      <w:r>
        <w:rPr>
          <w:rFonts w:ascii="Times New Roman" w:hAnsi="Times New Roman" w:eastAsia="Times New Roman"/>
          <w:b w:val="0"/>
          <w:i w:val="0"/>
          <w:sz w:val="20"/>
          <w:vertAlign w:val="subscript"/>
        </w:rPr>
        <w:t>g</w:t>
      </w:r>
      <w:r>
        <w:rPr>
          <w:rFonts w:ascii="Times New Roman" w:hAnsi="Times New Roman" w:eastAsia="Times New Roman"/>
          <w:b w:val="0"/>
          <w:i w:val="0"/>
          <w:sz w:val="20"/>
        </w:rPr>
        <w:t xml:space="preserve"> median absolute deviation (berskala normal) dari data referensi. Skor aturan adalah jumlah terbobot pelanggaran (bobot 1–3, Tabel 2).</w:t>
      </w:r>
    </w:p>
    <w:p>
      <w:pPr>
        <w:keepNext/>
        <w:spacing w:before="80" w:after="0" w:line="240" w:lineRule="auto"/>
        <w:jc w:val="center"/>
      </w:pPr>
      <w:r>
        <w:rPr>
          <w:rFonts w:ascii="Times New Roman" w:hAnsi="Times New Roman" w:eastAsia="Times New Roman"/>
          <w:b w:val="0"/>
          <w:i w:val="0"/>
          <w:sz w:val="16"/>
        </w:rPr>
        <w:t>Tabel 2: Katalog aturan domain kualitas data transaksi PKB</w:t>
      </w:r>
    </w:p>
    <w:tbl>
      <w:tblPr>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W w:w="8731" w:type="dxa"/>
        <w:tblLayout w:type="fixed"/>
      </w:tblPr>
      <w:tblGrid>
        <w:gridCol w:w="510"/>
        <w:gridCol w:w="2041"/>
        <w:gridCol w:w="1077"/>
        <w:gridCol w:w="567"/>
        <w:gridCol w:w="4536"/>
      </w:tblGrid>
      <w:tr>
        <w:tc>
          <w:tcPr>
            <w:tcW w:type="dxa" w:w="510"/>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5"/>
              </w:rPr>
              <w:t>ID</w:t>
            </w:r>
          </w:p>
        </w:tc>
        <w:tc>
          <w:tcPr>
            <w:tcW w:type="dxa" w:w="2041"/>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5"/>
              </w:rPr>
              <w:t>Aturan</w:t>
            </w:r>
          </w:p>
        </w:tc>
        <w:tc>
          <w:tcPr>
            <w:tcW w:type="dxa" w:w="1077"/>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5"/>
              </w:rPr>
              <w:t>Dimensi</w:t>
            </w:r>
          </w:p>
        </w:tc>
        <w:tc>
          <w:tcPr>
            <w:tcW w:type="dxa" w:w="567"/>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5"/>
              </w:rPr>
              <w:t>Bobot</w:t>
            </w:r>
          </w:p>
        </w:tc>
        <w:tc>
          <w:tcPr>
            <w:tcW w:type="dxa" w:w="4535"/>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5"/>
              </w:rPr>
              <w:t>Logika</w:t>
            </w:r>
          </w:p>
        </w:tc>
      </w:tr>
      <w:tr>
        <w:tc>
          <w:tcPr>
            <w:tcW w:type="dxa" w:w="510"/>
            <w:tcMar>
              <w:top w:w="15" w:type="dxa"/>
              <w:bottom w:w="15" w:type="dxa"/>
            </w:tcMar>
          </w:tcPr>
          <w:p>
            <w:pPr>
              <w:spacing w:before="0" w:after="0" w:line="240" w:lineRule="auto"/>
              <w:jc w:val="left"/>
            </w:pPr>
            <w:r/>
            <w:r>
              <w:rPr>
                <w:rFonts w:ascii="Times New Roman" w:hAnsi="Times New Roman" w:eastAsia="Times New Roman"/>
                <w:b w:val="0"/>
                <w:i w:val="0"/>
                <w:sz w:val="15"/>
              </w:rPr>
              <w:t>R01</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5"/>
              </w:rPr>
              <w:t>Denda tanpa tunggakan</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5"/>
              </w:rPr>
              <w:t>Konsistensi</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5"/>
              </w:rPr>
              <w:t>3</w:t>
            </w:r>
          </w:p>
        </w:tc>
        <w:tc>
          <w:tcPr>
            <w:tcW w:type="dxa" w:w="4535"/>
            <w:tcMar>
              <w:top w:w="15" w:type="dxa"/>
              <w:bottom w:w="15" w:type="dxa"/>
            </w:tcMar>
          </w:tcPr>
          <w:p>
            <w:pPr>
              <w:spacing w:before="0" w:after="0" w:line="240" w:lineRule="auto"/>
              <w:jc w:val="left"/>
            </w:pPr>
            <w:r/>
            <w:r>
              <w:rPr>
                <w:rFonts w:ascii="Times New Roman" w:hAnsi="Times New Roman" w:eastAsia="Times New Roman"/>
                <w:b w:val="0"/>
                <w:i w:val="0"/>
                <w:sz w:val="15"/>
              </w:rPr>
              <w:t>pkbden_k&gt;0 dan pkbtgk_k=0 (k=0..4)</w:t>
            </w:r>
          </w:p>
        </w:tc>
      </w:tr>
      <w:tr>
        <w:tc>
          <w:tcPr>
            <w:tcW w:type="dxa" w:w="510"/>
            <w:tcMar>
              <w:top w:w="15" w:type="dxa"/>
              <w:bottom w:w="15" w:type="dxa"/>
            </w:tcMar>
          </w:tcPr>
          <w:p>
            <w:pPr>
              <w:spacing w:before="0" w:after="0" w:line="240" w:lineRule="auto"/>
              <w:jc w:val="left"/>
            </w:pPr>
            <w:r/>
            <w:r>
              <w:rPr>
                <w:rFonts w:ascii="Times New Roman" w:hAnsi="Times New Roman" w:eastAsia="Times New Roman"/>
                <w:b w:val="0"/>
                <w:i w:val="0"/>
                <w:sz w:val="15"/>
              </w:rPr>
              <w:t>R02</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5"/>
              </w:rPr>
              <w:t>Tunggakan tanpa denda</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5"/>
              </w:rPr>
              <w:t>Konsistensi</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5"/>
              </w:rPr>
              <w:t>2</w:t>
            </w:r>
          </w:p>
        </w:tc>
        <w:tc>
          <w:tcPr>
            <w:tcW w:type="dxa" w:w="4535"/>
            <w:tcMar>
              <w:top w:w="15" w:type="dxa"/>
              <w:bottom w:w="15" w:type="dxa"/>
            </w:tcMar>
          </w:tcPr>
          <w:p>
            <w:pPr>
              <w:spacing w:before="0" w:after="0" w:line="240" w:lineRule="auto"/>
              <w:jc w:val="left"/>
            </w:pPr>
            <w:r/>
            <w:r>
              <w:rPr>
                <w:rFonts w:ascii="Times New Roman" w:hAnsi="Times New Roman" w:eastAsia="Times New Roman"/>
                <w:b w:val="0"/>
                <w:i w:val="0"/>
                <w:sz w:val="15"/>
              </w:rPr>
              <w:t>pkbtgk_k&gt;0 dan pkbden_k=0</w:t>
            </w:r>
          </w:p>
        </w:tc>
      </w:tr>
      <w:tr>
        <w:tc>
          <w:tcPr>
            <w:tcW w:type="dxa" w:w="510"/>
            <w:tcMar>
              <w:top w:w="15" w:type="dxa"/>
              <w:bottom w:w="15" w:type="dxa"/>
            </w:tcMar>
          </w:tcPr>
          <w:p>
            <w:pPr>
              <w:spacing w:before="0" w:after="0" w:line="240" w:lineRule="auto"/>
              <w:jc w:val="left"/>
            </w:pPr>
            <w:r/>
            <w:r>
              <w:rPr>
                <w:rFonts w:ascii="Times New Roman" w:hAnsi="Times New Roman" w:eastAsia="Times New Roman"/>
                <w:b w:val="0"/>
                <w:i w:val="0"/>
                <w:sz w:val="15"/>
              </w:rPr>
              <w:t>R03</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5"/>
              </w:rPr>
              <w:t>Tarif denda tunggakan menyimpang</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5"/>
              </w:rPr>
              <w:t>Akurasi</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5"/>
              </w:rPr>
              <w:t>2</w:t>
            </w:r>
          </w:p>
        </w:tc>
        <w:tc>
          <w:tcPr>
            <w:tcW w:type="dxa" w:w="4535"/>
            <w:tcMar>
              <w:top w:w="15" w:type="dxa"/>
              <w:bottom w:w="15" w:type="dxa"/>
            </w:tcMar>
          </w:tcPr>
          <w:p>
            <w:pPr>
              <w:spacing w:before="0" w:after="0" w:line="240" w:lineRule="auto"/>
              <w:jc w:val="left"/>
            </w:pPr>
            <w:r/>
            <w:r>
              <w:rPr>
                <w:rFonts w:ascii="Times New Roman" w:hAnsi="Times New Roman" w:eastAsia="Times New Roman"/>
                <w:b w:val="0"/>
                <w:i w:val="0"/>
                <w:sz w:val="15"/>
              </w:rPr>
              <w:t>denda_k/tunggakan_k di luar [0,245;0,2525] (k&gt;=1) atau &gt;0,2525 (k=0)</w:t>
            </w:r>
          </w:p>
        </w:tc>
      </w:tr>
      <w:tr>
        <w:tc>
          <w:tcPr>
            <w:tcW w:type="dxa" w:w="510"/>
            <w:tcMar>
              <w:top w:w="15" w:type="dxa"/>
              <w:bottom w:w="15" w:type="dxa"/>
            </w:tcMar>
          </w:tcPr>
          <w:p>
            <w:pPr>
              <w:spacing w:before="0" w:after="0" w:line="240" w:lineRule="auto"/>
              <w:jc w:val="left"/>
            </w:pPr>
            <w:r/>
            <w:r>
              <w:rPr>
                <w:rFonts w:ascii="Times New Roman" w:hAnsi="Times New Roman" w:eastAsia="Times New Roman"/>
                <w:b w:val="0"/>
                <w:i w:val="0"/>
                <w:sz w:val="15"/>
              </w:rPr>
              <w:t>R04</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5"/>
              </w:rPr>
              <w:t>Denda berjalan &gt;25% / tanpa pokok</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5"/>
              </w:rPr>
              <w:t>Akurasi</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5"/>
              </w:rPr>
              <w:t>2</w:t>
            </w:r>
          </w:p>
        </w:tc>
        <w:tc>
          <w:tcPr>
            <w:tcW w:type="dxa" w:w="4535"/>
            <w:tcMar>
              <w:top w:w="15" w:type="dxa"/>
              <w:bottom w:w="15" w:type="dxa"/>
            </w:tcMar>
          </w:tcPr>
          <w:p>
            <w:pPr>
              <w:spacing w:before="0" w:after="0" w:line="240" w:lineRule="auto"/>
              <w:jc w:val="left"/>
            </w:pPr>
            <w:r/>
            <w:r>
              <w:rPr>
                <w:rFonts w:ascii="Times New Roman" w:hAnsi="Times New Roman" w:eastAsia="Times New Roman"/>
                <w:b w:val="0"/>
                <w:i w:val="0"/>
                <w:sz w:val="15"/>
              </w:rPr>
              <w:t>pkbden/pkbpok&gt;0,2525 atau pkbden&gt;0 dengan pkbpok=0</w:t>
            </w:r>
          </w:p>
        </w:tc>
      </w:tr>
      <w:tr>
        <w:tc>
          <w:tcPr>
            <w:tcW w:type="dxa" w:w="510"/>
            <w:tcMar>
              <w:top w:w="15" w:type="dxa"/>
              <w:bottom w:w="15" w:type="dxa"/>
            </w:tcMar>
          </w:tcPr>
          <w:p>
            <w:pPr>
              <w:spacing w:before="0" w:after="0" w:line="240" w:lineRule="auto"/>
              <w:jc w:val="left"/>
            </w:pPr>
            <w:r/>
            <w:r>
              <w:rPr>
                <w:rFonts w:ascii="Times New Roman" w:hAnsi="Times New Roman" w:eastAsia="Times New Roman"/>
                <w:b w:val="0"/>
                <w:i w:val="0"/>
                <w:sz w:val="15"/>
              </w:rPr>
              <w:t>R05</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5"/>
              </w:rPr>
              <w:t>Pola tunggakan tidak berurutan</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5"/>
              </w:rPr>
              <w:t>Konsistensi</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5"/>
              </w:rPr>
              <w:t>2</w:t>
            </w:r>
          </w:p>
        </w:tc>
        <w:tc>
          <w:tcPr>
            <w:tcW w:type="dxa" w:w="4535"/>
            <w:tcMar>
              <w:top w:w="15" w:type="dxa"/>
              <w:bottom w:w="15" w:type="dxa"/>
            </w:tcMar>
          </w:tcPr>
          <w:p>
            <w:pPr>
              <w:spacing w:before="0" w:after="0" w:line="240" w:lineRule="auto"/>
              <w:jc w:val="left"/>
            </w:pPr>
            <w:r/>
            <w:r>
              <w:rPr>
                <w:rFonts w:ascii="Times New Roman" w:hAnsi="Times New Roman" w:eastAsia="Times New Roman"/>
                <w:b w:val="0"/>
                <w:i w:val="0"/>
                <w:sz w:val="15"/>
              </w:rPr>
              <w:t>tunggakan tahun k+1 ada, tahun k kosong</w:t>
            </w:r>
          </w:p>
        </w:tc>
      </w:tr>
      <w:tr>
        <w:tc>
          <w:tcPr>
            <w:tcW w:type="dxa" w:w="510"/>
            <w:tcMar>
              <w:top w:w="15" w:type="dxa"/>
              <w:bottom w:w="15" w:type="dxa"/>
            </w:tcMar>
          </w:tcPr>
          <w:p>
            <w:pPr>
              <w:spacing w:before="0" w:after="0" w:line="240" w:lineRule="auto"/>
              <w:jc w:val="left"/>
            </w:pPr>
            <w:r/>
            <w:r>
              <w:rPr>
                <w:rFonts w:ascii="Times New Roman" w:hAnsi="Times New Roman" w:eastAsia="Times New Roman"/>
                <w:b w:val="0"/>
                <w:i w:val="0"/>
                <w:sz w:val="15"/>
              </w:rPr>
              <w:t>R06</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5"/>
              </w:rPr>
              <w:t>Tunggakan tanpa pokok berjalan</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5"/>
              </w:rPr>
              <w:t>Konsistensi</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5"/>
              </w:rPr>
              <w:t>2</w:t>
            </w:r>
          </w:p>
        </w:tc>
        <w:tc>
          <w:tcPr>
            <w:tcW w:type="dxa" w:w="4535"/>
            <w:tcMar>
              <w:top w:w="15" w:type="dxa"/>
              <w:bottom w:w="15" w:type="dxa"/>
            </w:tcMar>
          </w:tcPr>
          <w:p>
            <w:pPr>
              <w:spacing w:before="0" w:after="0" w:line="240" w:lineRule="auto"/>
              <w:jc w:val="left"/>
            </w:pPr>
            <w:r/>
            <w:r>
              <w:rPr>
                <w:rFonts w:ascii="Times New Roman" w:hAnsi="Times New Roman" w:eastAsia="Times New Roman"/>
                <w:b w:val="0"/>
                <w:i w:val="0"/>
                <w:sz w:val="15"/>
              </w:rPr>
              <w:t>total tunggakan&gt;0 dan pkbpok=0</w:t>
            </w:r>
          </w:p>
        </w:tc>
      </w:tr>
      <w:tr>
        <w:tc>
          <w:tcPr>
            <w:tcW w:type="dxa" w:w="510"/>
            <w:tcMar>
              <w:top w:w="15" w:type="dxa"/>
              <w:bottom w:w="15" w:type="dxa"/>
            </w:tcMar>
          </w:tcPr>
          <w:p>
            <w:pPr>
              <w:spacing w:before="0" w:after="0" w:line="240" w:lineRule="auto"/>
              <w:jc w:val="left"/>
            </w:pPr>
            <w:r/>
            <w:r>
              <w:rPr>
                <w:rFonts w:ascii="Times New Roman" w:hAnsi="Times New Roman" w:eastAsia="Times New Roman"/>
                <w:b w:val="0"/>
                <w:i w:val="0"/>
                <w:sz w:val="15"/>
              </w:rPr>
              <w:t>R07</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5"/>
              </w:rPr>
              <w:t>Kode permohonan-mutasi tidak konsisten</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5"/>
              </w:rPr>
              <w:t>Konsistensi</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5"/>
              </w:rPr>
              <w:t>3</w:t>
            </w:r>
          </w:p>
        </w:tc>
        <w:tc>
          <w:tcPr>
            <w:tcW w:type="dxa" w:w="4535"/>
            <w:tcMar>
              <w:top w:w="15" w:type="dxa"/>
              <w:bottom w:w="15" w:type="dxa"/>
            </w:tcMar>
          </w:tcPr>
          <w:p>
            <w:pPr>
              <w:spacing w:before="0" w:after="0" w:line="240" w:lineRule="auto"/>
              <w:jc w:val="left"/>
            </w:pPr>
            <w:r/>
            <w:r>
              <w:rPr>
                <w:rFonts w:ascii="Times New Roman" w:hAnsi="Times New Roman" w:eastAsia="Times New Roman"/>
                <w:b w:val="0"/>
                <w:i w:val="0"/>
                <w:sz w:val="15"/>
              </w:rPr>
              <w:t>pasangan (kd_jen_mohon,kd_jen_mutasi) &lt;0,5% dalam kode permohonan / n&lt;30, atau kode langka (&lt;50)</w:t>
            </w:r>
          </w:p>
        </w:tc>
      </w:tr>
      <w:tr>
        <w:tc>
          <w:tcPr>
            <w:tcW w:type="dxa" w:w="510"/>
            <w:tcMar>
              <w:top w:w="15" w:type="dxa"/>
              <w:bottom w:w="15" w:type="dxa"/>
            </w:tcMar>
          </w:tcPr>
          <w:p>
            <w:pPr>
              <w:spacing w:before="0" w:after="0" w:line="240" w:lineRule="auto"/>
              <w:jc w:val="left"/>
            </w:pPr>
            <w:r/>
            <w:r>
              <w:rPr>
                <w:rFonts w:ascii="Times New Roman" w:hAnsi="Times New Roman" w:eastAsia="Times New Roman"/>
                <w:b w:val="0"/>
                <w:i w:val="0"/>
                <w:sz w:val="15"/>
              </w:rPr>
              <w:t>R08</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5"/>
              </w:rPr>
              <w:t>BBNKB tidak konsisten dengan kode</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5"/>
              </w:rPr>
              <w:t>Konsistensi</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5"/>
              </w:rPr>
              <w:t>3</w:t>
            </w:r>
          </w:p>
        </w:tc>
        <w:tc>
          <w:tcPr>
            <w:tcW w:type="dxa" w:w="4535"/>
            <w:tcMar>
              <w:top w:w="15" w:type="dxa"/>
              <w:bottom w:w="15" w:type="dxa"/>
            </w:tcMar>
          </w:tcPr>
          <w:p>
            <w:pPr>
              <w:spacing w:before="0" w:after="0" w:line="240" w:lineRule="auto"/>
              <w:jc w:val="left"/>
            </w:pPr>
            <w:r/>
            <w:r>
              <w:rPr>
                <w:rFonts w:ascii="Times New Roman" w:hAnsi="Times New Roman" w:eastAsia="Times New Roman"/>
                <w:b w:val="0"/>
                <w:i w:val="0"/>
                <w:sz w:val="15"/>
              </w:rPr>
              <w:t>pasangan wajib BBN (&gt;=95%) tanpa BBN, pasangan tanpa BBN (&lt;=5%) ber-BBN, atau bbnden&gt;0 tanpa bbnpok</w:t>
            </w:r>
          </w:p>
        </w:tc>
      </w:tr>
      <w:tr>
        <w:tc>
          <w:tcPr>
            <w:tcW w:type="dxa" w:w="510"/>
            <w:tcMar>
              <w:top w:w="15" w:type="dxa"/>
              <w:bottom w:w="15" w:type="dxa"/>
            </w:tcMar>
          </w:tcPr>
          <w:p>
            <w:pPr>
              <w:spacing w:before="0" w:after="0" w:line="240" w:lineRule="auto"/>
              <w:jc w:val="left"/>
            </w:pPr>
            <w:r/>
            <w:r>
              <w:rPr>
                <w:rFonts w:ascii="Times New Roman" w:hAnsi="Times New Roman" w:eastAsia="Times New Roman"/>
                <w:b w:val="0"/>
                <w:i w:val="0"/>
                <w:sz w:val="15"/>
              </w:rPr>
              <w:t>R09</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5"/>
              </w:rPr>
              <w:t>Nilai PKB janggal untuk jenis kendaraan</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5"/>
              </w:rPr>
              <w:t>Plausibilitas</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5"/>
              </w:rPr>
              <w:t>2</w:t>
            </w:r>
          </w:p>
        </w:tc>
        <w:tc>
          <w:tcPr>
            <w:tcW w:type="dxa" w:w="4535"/>
            <w:tcMar>
              <w:top w:w="15" w:type="dxa"/>
              <w:bottom w:w="15" w:type="dxa"/>
            </w:tcMar>
          </w:tcPr>
          <w:p>
            <w:pPr>
              <w:spacing w:before="0" w:after="0" w:line="240" w:lineRule="auto"/>
              <w:jc w:val="left"/>
            </w:pPr>
            <w:r/>
            <w:r>
              <w:rPr>
                <w:rFonts w:ascii="Times New Roman" w:hAnsi="Times New Roman" w:eastAsia="Times New Roman"/>
                <w:b w:val="0"/>
                <w:i w:val="0"/>
                <w:sz w:val="15"/>
              </w:rPr>
              <w:t>|robust-z log10 pkbpok dalam kd_jenis_kb|&gt;3,5 (median/MAD tahun referensi)</w:t>
            </w:r>
          </w:p>
        </w:tc>
      </w:tr>
      <w:tr>
        <w:tc>
          <w:tcPr>
            <w:tcW w:type="dxa" w:w="510"/>
            <w:tcMar>
              <w:top w:w="15" w:type="dxa"/>
              <w:bottom w:w="15" w:type="dxa"/>
            </w:tcMar>
          </w:tcPr>
          <w:p>
            <w:pPr>
              <w:spacing w:before="0" w:after="0" w:line="240" w:lineRule="auto"/>
              <w:jc w:val="left"/>
            </w:pPr>
            <w:r/>
            <w:r>
              <w:rPr>
                <w:rFonts w:ascii="Times New Roman" w:hAnsi="Times New Roman" w:eastAsia="Times New Roman"/>
                <w:b w:val="0"/>
                <w:i w:val="0"/>
                <w:sz w:val="15"/>
              </w:rPr>
              <w:t>R10</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5"/>
              </w:rPr>
              <w:t>Rasio tunggakan/pokok ekstrem</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5"/>
              </w:rPr>
              <w:t>Plausibilitas</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5"/>
              </w:rPr>
              <w:t>1</w:t>
            </w:r>
          </w:p>
        </w:tc>
        <w:tc>
          <w:tcPr>
            <w:tcW w:type="dxa" w:w="4535"/>
            <w:tcMar>
              <w:top w:w="15" w:type="dxa"/>
              <w:bottom w:w="15" w:type="dxa"/>
            </w:tcMar>
          </w:tcPr>
          <w:p>
            <w:pPr>
              <w:spacing w:before="0" w:after="0" w:line="240" w:lineRule="auto"/>
              <w:jc w:val="left"/>
            </w:pPr>
            <w:r/>
            <w:r>
              <w:rPr>
                <w:rFonts w:ascii="Times New Roman" w:hAnsi="Times New Roman" w:eastAsia="Times New Roman"/>
                <w:b w:val="0"/>
                <w:i w:val="0"/>
                <w:sz w:val="15"/>
              </w:rPr>
              <w:t>pkbtgk0/pkbpok &gt;3 atau &lt;0,3</w:t>
            </w:r>
          </w:p>
        </w:tc>
      </w:tr>
      <w:tr>
        <w:tc>
          <w:tcPr>
            <w:tcW w:type="dxa" w:w="510"/>
            <w:tcMar>
              <w:top w:w="15" w:type="dxa"/>
              <w:bottom w:w="15" w:type="dxa"/>
            </w:tcMar>
          </w:tcPr>
          <w:p>
            <w:pPr>
              <w:spacing w:before="0" w:after="0" w:line="240" w:lineRule="auto"/>
              <w:jc w:val="left"/>
            </w:pPr>
            <w:r/>
            <w:r>
              <w:rPr>
                <w:rFonts w:ascii="Times New Roman" w:hAnsi="Times New Roman" w:eastAsia="Times New Roman"/>
                <w:b w:val="0"/>
                <w:i w:val="0"/>
                <w:sz w:val="15"/>
              </w:rPr>
              <w:t>R11</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5"/>
              </w:rPr>
              <w:t>Duplikat transaksi persis</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5"/>
              </w:rPr>
              <w:t>Keunikan</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5"/>
              </w:rPr>
              <w:t>2</w:t>
            </w:r>
          </w:p>
        </w:tc>
        <w:tc>
          <w:tcPr>
            <w:tcW w:type="dxa" w:w="4535"/>
            <w:tcMar>
              <w:top w:w="15" w:type="dxa"/>
              <w:bottom w:w="15" w:type="dxa"/>
            </w:tcMar>
          </w:tcPr>
          <w:p>
            <w:pPr>
              <w:spacing w:before="0" w:after="0" w:line="240" w:lineRule="auto"/>
              <w:jc w:val="left"/>
            </w:pPr>
            <w:r/>
            <w:r>
              <w:rPr>
                <w:rFonts w:ascii="Times New Roman" w:hAnsi="Times New Roman" w:eastAsia="Times New Roman"/>
                <w:b w:val="0"/>
                <w:i w:val="0"/>
                <w:sz w:val="15"/>
              </w:rPr>
              <w:t>duplikat persis (nopol, tanggal, kode, nilai)</w:t>
            </w:r>
          </w:p>
        </w:tc>
      </w:tr>
    </w:tbl>
    <w:p>
      <w:pPr>
        <w:spacing w:before="0" w:after="0" w:line="240" w:lineRule="auto"/>
        <w:jc w:val="both"/>
      </w:pPr>
    </w:p>
    <w:p>
      <w:pPr>
        <w:keepNext/>
        <w:spacing w:before="80" w:after="40" w:line="240" w:lineRule="auto"/>
        <w:jc w:val="left"/>
      </w:pPr>
      <w:r>
        <w:rPr>
          <w:rFonts w:ascii="Times New Roman" w:hAnsi="Times New Roman" w:eastAsia="Times New Roman"/>
          <w:b/>
          <w:i w:val="0"/>
          <w:sz w:val="20"/>
        </w:rPr>
        <w:t>2.4 Fitur dan detektor tak terawasi</w:t>
      </w:r>
    </w:p>
    <w:p>
      <w:pPr>
        <w:spacing w:before="0" w:after="0" w:line="240" w:lineRule="auto"/>
        <w:jc w:val="both"/>
      </w:pPr>
      <w:r>
        <w:rPr>
          <w:rFonts w:ascii="Times New Roman" w:hAnsi="Times New Roman" w:eastAsia="Times New Roman"/>
          <w:b w:val="0"/>
          <w:i w:val="0"/>
          <w:sz w:val="20"/>
        </w:rPr>
        <w:t>Detektor dilatih hanya pada transaksi bersih (tanpa pelanggaran aturan dan bukan transaksi bernilai nol) tahun 2021–2023 (n = 129.921; sampel latih 40.000) dan diuji pada 2024 sehingga tidak terjadi kebocoran waktu [6]. Fitur dasar terdiri atas logaritma nilai pokok/denda PKB, BBNKB dan tunggakan, jumlah tahun tunggakan, frekuensi kode, serta kode status. Fitur domain menambahkan rasio denda/pokok, rasio denda/tunggakan, rasio tunggakan/pokok, rasio BBNKB/PKB, z-skor nilai per jenis (persamaan 2), z-skor BBNKB/PKB per pasangan kode, frekuensi pasangan kode, dan selisih status BBNKB terhadap kelaziman kodenya. Ketiga detektor adalah Isolation Forest (300 pohon, ψ = 512) dengan skor</w:t>
      </w:r>
    </w:p>
    <w:tbl>
      <w:tblPr>
        <w:tblW w:type="auto" w:w="0"/>
        <w:jc w:val="center"/>
        <w:tblLook w:firstColumn="1" w:firstRow="1" w:lastColumn="0" w:lastRow="0" w:noHBand="0" w:noVBand="1" w:val="04A0"/>
      </w:tblPr>
      <w:tblGrid>
        <w:gridCol w:w="7937"/>
        <w:gridCol w:w="794"/>
      </w:tblGrid>
      <w:tr>
        <w:tc>
          <w:tcPr>
            <w:tcW w:type="dxa" w:w="7937"/>
          </w:tcPr>
          <w:p>
            <w:pPr>
              <w:spacing w:before="40" w:after="40" w:line="240" w:lineRule="auto"/>
              <w:jc w:val="center"/>
            </w:pPr>
            <w:r>
              <w:rPr>
                <w:rFonts w:ascii="Times New Roman" w:hAnsi="Times New Roman" w:eastAsia="Times New Roman"/>
                <w:b w:val="0"/>
                <w:i w:val="0"/>
                <w:sz w:val="20"/>
              </w:rPr>
              <w:t>s(x) = 2</w:t>
            </w:r>
            <w:r>
              <w:rPr>
                <w:rFonts w:ascii="Times New Roman" w:hAnsi="Times New Roman" w:eastAsia="Times New Roman"/>
                <w:b w:val="0"/>
                <w:i w:val="0"/>
                <w:sz w:val="20"/>
                <w:vertAlign w:val="superscript"/>
              </w:rPr>
              <w:t>−E[h(x)]/c(ψ)</w:t>
            </w:r>
          </w:p>
        </w:tc>
        <w:tc>
          <w:tcPr>
            <w:tcW w:type="dxa" w:w="794"/>
          </w:tcPr>
          <w:p>
            <w:pPr>
              <w:spacing w:before="40" w:after="40" w:line="240" w:lineRule="auto"/>
              <w:jc w:val="right"/>
            </w:pPr>
            <w:r>
              <w:rPr>
                <w:rFonts w:ascii="Times New Roman" w:hAnsi="Times New Roman" w:eastAsia="Times New Roman"/>
                <w:b w:val="0"/>
                <w:i w:val="0"/>
                <w:sz w:val="20"/>
              </w:rPr>
              <w:t>(3)</w:t>
            </w:r>
          </w:p>
        </w:tc>
      </w:tr>
    </w:tbl>
    <w:p>
      <w:pPr>
        <w:spacing w:before="0" w:after="0" w:line="240" w:lineRule="auto"/>
        <w:jc w:val="both"/>
      </w:pPr>
      <w:r>
        <w:rPr>
          <w:rFonts w:ascii="Times New Roman" w:hAnsi="Times New Roman" w:eastAsia="Times New Roman"/>
          <w:b w:val="0"/>
          <w:i w:val="0"/>
          <w:sz w:val="20"/>
        </w:rPr>
        <w:t xml:space="preserve">LOF mode </w:t>
      </w:r>
      <w:r>
        <w:rPr>
          <w:rFonts w:ascii="Times New Roman" w:hAnsi="Times New Roman" w:eastAsia="Times New Roman"/>
          <w:b w:val="0"/>
          <w:i/>
          <w:sz w:val="20"/>
        </w:rPr>
        <w:t>novelty</w:t>
      </w:r>
      <w:r>
        <w:rPr>
          <w:rFonts w:ascii="Times New Roman" w:hAnsi="Times New Roman" w:eastAsia="Times New Roman"/>
          <w:b w:val="0"/>
          <w:i w:val="0"/>
          <w:sz w:val="20"/>
        </w:rPr>
        <w:t xml:space="preserve"> (k = 35), dan autoencoder MLP 32–8–32 (ReLU, Adam, </w:t>
      </w:r>
      <w:r>
        <w:rPr>
          <w:rFonts w:ascii="Times New Roman" w:hAnsi="Times New Roman" w:eastAsia="Times New Roman"/>
          <w:b w:val="0"/>
          <w:i/>
          <w:sz w:val="20"/>
        </w:rPr>
        <w:t>early stopping</w:t>
      </w:r>
      <w:r>
        <w:rPr>
          <w:rFonts w:ascii="Times New Roman" w:hAnsi="Times New Roman" w:eastAsia="Times New Roman"/>
          <w:b w:val="0"/>
          <w:i w:val="0"/>
          <w:sz w:val="20"/>
        </w:rPr>
        <w:t>) dengan galat rekonstruksi</w:t>
      </w:r>
    </w:p>
    <w:tbl>
      <w:tblPr>
        <w:tblW w:type="auto" w:w="0"/>
        <w:jc w:val="center"/>
        <w:tblLook w:firstColumn="1" w:firstRow="1" w:lastColumn="0" w:lastRow="0" w:noHBand="0" w:noVBand="1" w:val="04A0"/>
      </w:tblPr>
      <w:tblGrid>
        <w:gridCol w:w="7937"/>
        <w:gridCol w:w="794"/>
      </w:tblGrid>
      <w:tr>
        <w:tc>
          <w:tcPr>
            <w:tcW w:type="dxa" w:w="7937"/>
          </w:tcPr>
          <w:p>
            <w:pPr>
              <w:spacing w:before="40" w:after="40" w:line="240" w:lineRule="auto"/>
              <w:jc w:val="center"/>
            </w:pPr>
            <w:r>
              <w:rPr>
                <w:rFonts w:ascii="Times New Roman" w:hAnsi="Times New Roman" w:eastAsia="Times New Roman"/>
                <w:b w:val="0"/>
                <w:i w:val="0"/>
                <w:sz w:val="20"/>
              </w:rPr>
              <w:t>e(x) = (1/d) Σ</w:t>
            </w:r>
            <w:r>
              <w:rPr>
                <w:rFonts w:ascii="Times New Roman" w:hAnsi="Times New Roman" w:eastAsia="Times New Roman"/>
                <w:b w:val="0"/>
                <w:i w:val="0"/>
                <w:sz w:val="20"/>
                <w:vertAlign w:val="subscript"/>
              </w:rPr>
              <w:t>j</w:t>
            </w:r>
            <w:r>
              <w:rPr>
                <w:rFonts w:ascii="Times New Roman" w:hAnsi="Times New Roman" w:eastAsia="Times New Roman"/>
                <w:b w:val="0"/>
                <w:i w:val="0"/>
                <w:sz w:val="20"/>
              </w:rPr>
              <w:t xml:space="preserve"> (x</w:t>
            </w:r>
            <w:r>
              <w:rPr>
                <w:rFonts w:ascii="Times New Roman" w:hAnsi="Times New Roman" w:eastAsia="Times New Roman"/>
                <w:b w:val="0"/>
                <w:i w:val="0"/>
                <w:sz w:val="20"/>
                <w:vertAlign w:val="subscript"/>
              </w:rPr>
              <w:t>j</w:t>
            </w:r>
            <w:r>
              <w:rPr>
                <w:rFonts w:ascii="Times New Roman" w:hAnsi="Times New Roman" w:eastAsia="Times New Roman"/>
                <w:b w:val="0"/>
                <w:i w:val="0"/>
                <w:sz w:val="20"/>
              </w:rPr>
              <w:t xml:space="preserve"> − x̂</w:t>
            </w:r>
            <w:r>
              <w:rPr>
                <w:rFonts w:ascii="Times New Roman" w:hAnsi="Times New Roman" w:eastAsia="Times New Roman"/>
                <w:b w:val="0"/>
                <w:i w:val="0"/>
                <w:sz w:val="20"/>
                <w:vertAlign w:val="subscript"/>
              </w:rPr>
              <w:t>j</w:t>
            </w:r>
            <w:r>
              <w:rPr>
                <w:rFonts w:ascii="Times New Roman" w:hAnsi="Times New Roman" w:eastAsia="Times New Roman"/>
                <w:b w:val="0"/>
                <w:i w:val="0"/>
                <w:sz w:val="20"/>
              </w:rPr>
              <w:t>)²</w:t>
            </w:r>
          </w:p>
        </w:tc>
        <w:tc>
          <w:tcPr>
            <w:tcW w:type="dxa" w:w="794"/>
          </w:tcPr>
          <w:p>
            <w:pPr>
              <w:spacing w:before="40" w:after="40" w:line="240" w:lineRule="auto"/>
              <w:jc w:val="right"/>
            </w:pPr>
            <w:r>
              <w:rPr>
                <w:rFonts w:ascii="Times New Roman" w:hAnsi="Times New Roman" w:eastAsia="Times New Roman"/>
                <w:b w:val="0"/>
                <w:i w:val="0"/>
                <w:sz w:val="20"/>
              </w:rPr>
              <w:t>(4)</w:t>
            </w:r>
          </w:p>
        </w:tc>
      </w:tr>
    </w:tbl>
    <w:p>
      <w:pPr>
        <w:spacing w:before="0" w:after="0" w:line="240" w:lineRule="auto"/>
        <w:jc w:val="both"/>
      </w:pPr>
      <w:r>
        <w:rPr>
          <w:rFonts w:ascii="Times New Roman" w:hAnsi="Times New Roman" w:eastAsia="Times New Roman"/>
          <w:b w:val="0"/>
          <w:i w:val="0"/>
          <w:sz w:val="20"/>
        </w:rPr>
        <w:t>Pemilihan model dangkal dan jaringan kecil mengikuti temuan bahwa data tabular tidak selalu memerlukan arsitektur dalam [27,28].</w:t>
      </w:r>
    </w:p>
    <w:p>
      <w:pPr>
        <w:keepNext/>
        <w:spacing w:before="80" w:after="40" w:line="240" w:lineRule="auto"/>
        <w:jc w:val="left"/>
      </w:pPr>
      <w:r>
        <w:rPr>
          <w:rFonts w:ascii="Times New Roman" w:hAnsi="Times New Roman" w:eastAsia="Times New Roman"/>
          <w:b/>
          <w:i w:val="0"/>
          <w:sz w:val="20"/>
        </w:rPr>
        <w:t>2.5 Fusi ensemble dan skor hibrida</w:t>
      </w:r>
    </w:p>
    <w:p>
      <w:pPr>
        <w:spacing w:before="0" w:after="0" w:line="240" w:lineRule="auto"/>
        <w:jc w:val="both"/>
      </w:pPr>
      <w:r>
        <w:rPr>
          <w:rFonts w:ascii="Times New Roman" w:hAnsi="Times New Roman" w:eastAsia="Times New Roman"/>
          <w:b w:val="0"/>
          <w:i w:val="0"/>
          <w:sz w:val="20"/>
        </w:rPr>
        <w:t xml:space="preserve">Skor setiap detektor </w:t>
      </w:r>
      <w:r>
        <w:rPr>
          <w:rFonts w:ascii="Times New Roman" w:hAnsi="Times New Roman" w:eastAsia="Times New Roman"/>
          <w:b w:val="0"/>
          <w:i/>
          <w:sz w:val="20"/>
        </w:rPr>
        <w:t>m</w:t>
      </w:r>
      <w:r>
        <w:rPr>
          <w:rFonts w:ascii="Times New Roman" w:hAnsi="Times New Roman" w:eastAsia="Times New Roman"/>
          <w:b w:val="0"/>
          <w:i w:val="0"/>
          <w:sz w:val="20"/>
        </w:rPr>
        <w:t xml:space="preserve"> dikalibrasi menjadi persentil F</w:t>
      </w:r>
      <w:r>
        <w:rPr>
          <w:rFonts w:ascii="Times New Roman" w:hAnsi="Times New Roman" w:eastAsia="Times New Roman"/>
          <w:b w:val="0"/>
          <w:i w:val="0"/>
          <w:sz w:val="20"/>
          <w:vertAlign w:val="subscript"/>
        </w:rPr>
        <w:t>m</w:t>
      </w:r>
      <w:r>
        <w:rPr>
          <w:rFonts w:ascii="Times New Roman" w:hAnsi="Times New Roman" w:eastAsia="Times New Roman"/>
          <w:b w:val="0"/>
          <w:i w:val="0"/>
          <w:sz w:val="20"/>
        </w:rPr>
        <w:t xml:space="preserve"> terhadap distribusi skor data latih, lalu digabung dengan fungsi maksimum (dengan rerata sebagai pemecah seri) agar sinyal kuat dari satu detektor tidak teredam detektor lain [19]. Skor hibrida menempatkan transaksi yang melanggar aturan pada prioritas pertama:</w:t>
      </w:r>
    </w:p>
    <w:tbl>
      <w:tblPr>
        <w:tblW w:type="auto" w:w="0"/>
        <w:jc w:val="center"/>
        <w:tblLook w:firstColumn="1" w:firstRow="1" w:lastColumn="0" w:lastRow="0" w:noHBand="0" w:noVBand="1" w:val="04A0"/>
      </w:tblPr>
      <w:tblGrid>
        <w:gridCol w:w="7937"/>
        <w:gridCol w:w="794"/>
      </w:tblGrid>
      <w:tr>
        <w:tc>
          <w:tcPr>
            <w:tcW w:type="dxa" w:w="7937"/>
          </w:tcPr>
          <w:p>
            <w:pPr>
              <w:spacing w:before="40" w:after="40" w:line="240" w:lineRule="auto"/>
              <w:jc w:val="center"/>
            </w:pPr>
            <w:r>
              <w:rPr>
                <w:rFonts w:ascii="Times New Roman" w:hAnsi="Times New Roman" w:eastAsia="Times New Roman"/>
                <w:b w:val="0"/>
                <w:i w:val="0"/>
                <w:sz w:val="20"/>
              </w:rPr>
              <w:t>S</w:t>
            </w:r>
            <w:r>
              <w:rPr>
                <w:rFonts w:ascii="Times New Roman" w:hAnsi="Times New Roman" w:eastAsia="Times New Roman"/>
                <w:b w:val="0"/>
                <w:i w:val="0"/>
                <w:sz w:val="20"/>
                <w:vertAlign w:val="subscript"/>
              </w:rPr>
              <w:t>ML</w:t>
            </w:r>
            <w:r>
              <w:rPr>
                <w:rFonts w:ascii="Times New Roman" w:hAnsi="Times New Roman" w:eastAsia="Times New Roman"/>
                <w:b w:val="0"/>
                <w:i w:val="0"/>
                <w:sz w:val="20"/>
              </w:rPr>
              <w:t>(x) = max</w:t>
            </w:r>
            <w:r>
              <w:rPr>
                <w:rFonts w:ascii="Times New Roman" w:hAnsi="Times New Roman" w:eastAsia="Times New Roman"/>
                <w:b w:val="0"/>
                <w:i w:val="0"/>
                <w:sz w:val="20"/>
                <w:vertAlign w:val="subscript"/>
              </w:rPr>
              <w:t>m</w:t>
            </w:r>
            <w:r>
              <w:rPr>
                <w:rFonts w:ascii="Times New Roman" w:hAnsi="Times New Roman" w:eastAsia="Times New Roman"/>
                <w:b w:val="0"/>
                <w:i w:val="0"/>
                <w:sz w:val="20"/>
              </w:rPr>
              <w:t xml:space="preserve"> F</w:t>
            </w:r>
            <w:r>
              <w:rPr>
                <w:rFonts w:ascii="Times New Roman" w:hAnsi="Times New Roman" w:eastAsia="Times New Roman"/>
                <w:b w:val="0"/>
                <w:i w:val="0"/>
                <w:sz w:val="20"/>
                <w:vertAlign w:val="subscript"/>
              </w:rPr>
              <w:t>m</w:t>
            </w:r>
            <w:r>
              <w:rPr>
                <w:rFonts w:ascii="Times New Roman" w:hAnsi="Times New Roman" w:eastAsia="Times New Roman"/>
                <w:b w:val="0"/>
                <w:i w:val="0"/>
                <w:sz w:val="20"/>
              </w:rPr>
              <w:t>(s</w:t>
            </w:r>
            <w:r>
              <w:rPr>
                <w:rFonts w:ascii="Times New Roman" w:hAnsi="Times New Roman" w:eastAsia="Times New Roman"/>
                <w:b w:val="0"/>
                <w:i w:val="0"/>
                <w:sz w:val="20"/>
                <w:vertAlign w:val="subscript"/>
              </w:rPr>
              <w:t>m</w:t>
            </w:r>
            <w:r>
              <w:rPr>
                <w:rFonts w:ascii="Times New Roman" w:hAnsi="Times New Roman" w:eastAsia="Times New Roman"/>
                <w:b w:val="0"/>
                <w:i w:val="0"/>
                <w:sz w:val="20"/>
              </w:rPr>
              <w:t>(x));      H(x) = 𝟙[R(x) &gt; 0] + S</w:t>
            </w:r>
            <w:r>
              <w:rPr>
                <w:rFonts w:ascii="Times New Roman" w:hAnsi="Times New Roman" w:eastAsia="Times New Roman"/>
                <w:b w:val="0"/>
                <w:i w:val="0"/>
                <w:sz w:val="20"/>
                <w:vertAlign w:val="subscript"/>
              </w:rPr>
              <w:t>ML</w:t>
            </w:r>
            <w:r>
              <w:rPr>
                <w:rFonts w:ascii="Times New Roman" w:hAnsi="Times New Roman" w:eastAsia="Times New Roman"/>
                <w:b w:val="0"/>
                <w:i w:val="0"/>
                <w:sz w:val="20"/>
              </w:rPr>
              <w:t>(x)</w:t>
            </w:r>
          </w:p>
        </w:tc>
        <w:tc>
          <w:tcPr>
            <w:tcW w:type="dxa" w:w="794"/>
          </w:tcPr>
          <w:p>
            <w:pPr>
              <w:spacing w:before="40" w:after="40" w:line="240" w:lineRule="auto"/>
              <w:jc w:val="right"/>
            </w:pPr>
            <w:r>
              <w:rPr>
                <w:rFonts w:ascii="Times New Roman" w:hAnsi="Times New Roman" w:eastAsia="Times New Roman"/>
                <w:b w:val="0"/>
                <w:i w:val="0"/>
                <w:sz w:val="20"/>
              </w:rPr>
              <w:t>(5)</w:t>
            </w:r>
          </w:p>
        </w:tc>
      </w:tr>
    </w:tbl>
    <w:p>
      <w:pPr>
        <w:spacing w:before="0" w:after="0" w:line="240" w:lineRule="auto"/>
        <w:jc w:val="both"/>
      </w:pPr>
      <w:r>
        <w:rPr>
          <w:rFonts w:ascii="Times New Roman" w:hAnsi="Times New Roman" w:eastAsia="Times New Roman"/>
          <w:b w:val="0"/>
          <w:i w:val="0"/>
          <w:sz w:val="20"/>
        </w:rPr>
        <w:t>Transaksi ditandai ML bila S</w:t>
      </w:r>
      <w:r>
        <w:rPr>
          <w:rFonts w:ascii="Times New Roman" w:hAnsi="Times New Roman" w:eastAsia="Times New Roman"/>
          <w:b w:val="0"/>
          <w:i w:val="0"/>
          <w:sz w:val="20"/>
          <w:vertAlign w:val="subscript"/>
        </w:rPr>
        <w:t>ML</w:t>
      </w:r>
      <w:r>
        <w:rPr>
          <w:rFonts w:ascii="Times New Roman" w:hAnsi="Times New Roman" w:eastAsia="Times New Roman"/>
          <w:b w:val="0"/>
          <w:i w:val="0"/>
          <w:sz w:val="20"/>
        </w:rPr>
        <w:t xml:space="preserve"> melampaui persentil ke-99 data latih. Kode alasan diambil dari aturan yang dilanggar dan tiga fitur dengan galat rekonstruksi autoencoder terbesar [22]. Gambar 2 memperlihatkan rancangan penerapannya pada sistem informasi SAMSAT.</w:t>
      </w:r>
    </w:p>
    <w:p>
      <w:pPr>
        <w:keepNext/>
        <w:spacing w:before="80" w:after="0" w:line="240" w:lineRule="auto"/>
        <w:jc w:val="center"/>
      </w:pPr>
      <w:r>
        <w:drawing>
          <wp:inline xmlns:a="http://schemas.openxmlformats.org/drawingml/2006/main" xmlns:pic="http://schemas.openxmlformats.org/drawingml/2006/picture">
            <wp:extent cx="5220000" cy="1989200"/>
            <wp:docPr id="2" name="Picture 2"/>
            <wp:cNvGraphicFramePr>
              <a:graphicFrameLocks noChangeAspect="1"/>
            </wp:cNvGraphicFramePr>
            <a:graphic>
              <a:graphicData uri="http://schemas.openxmlformats.org/drawingml/2006/picture">
                <pic:pic>
                  <pic:nvPicPr>
                    <pic:cNvPr id="0" name="F02_arsitektur_sistem.png"/>
                    <pic:cNvPicPr/>
                  </pic:nvPicPr>
                  <pic:blipFill>
                    <a:blip r:embed="rId14"/>
                    <a:stretch>
                      <a:fillRect/>
                    </a:stretch>
                  </pic:blipFill>
                  <pic:spPr>
                    <a:xfrm>
                      <a:off x="0" y="0"/>
                      <a:ext cx="5220000" cy="1989200"/>
                    </a:xfrm>
                    <a:prstGeom prst="rect"/>
                  </pic:spPr>
                </pic:pic>
              </a:graphicData>
            </a:graphic>
          </wp:inline>
        </w:drawing>
      </w:r>
    </w:p>
    <w:p>
      <w:pPr>
        <w:spacing w:before="0" w:after="80" w:line="240" w:lineRule="auto"/>
        <w:jc w:val="center"/>
      </w:pPr>
      <w:r>
        <w:rPr>
          <w:rFonts w:ascii="Times New Roman" w:hAnsi="Times New Roman" w:eastAsia="Times New Roman"/>
          <w:b w:val="0"/>
          <w:i w:val="0"/>
          <w:sz w:val="18"/>
        </w:rPr>
        <w:t>Gambar 2: Arsitektur penerapan detektor hibrida pada alur data SAMSAT</w:t>
      </w:r>
    </w:p>
    <w:p>
      <w:pPr>
        <w:keepNext/>
        <w:spacing w:before="80" w:after="40" w:line="240" w:lineRule="auto"/>
        <w:jc w:val="left"/>
      </w:pPr>
      <w:r>
        <w:rPr>
          <w:rFonts w:ascii="Times New Roman" w:hAnsi="Times New Roman" w:eastAsia="Times New Roman"/>
          <w:b/>
          <w:i w:val="0"/>
          <w:sz w:val="20"/>
        </w:rPr>
        <w:t>2.6 Desain evaluasi</w:t>
      </w:r>
    </w:p>
    <w:p>
      <w:pPr>
        <w:spacing w:before="0" w:after="0" w:line="240" w:lineRule="auto"/>
        <w:jc w:val="both"/>
      </w:pPr>
      <w:r>
        <w:rPr>
          <w:rFonts w:ascii="Times New Roman" w:hAnsi="Times New Roman" w:eastAsia="Times New Roman"/>
          <w:b w:val="0"/>
          <w:i w:val="0"/>
          <w:sz w:val="20"/>
        </w:rPr>
        <w:t>Karena label kebenaran tidak tersedia, kinerja diukur dengan injeksi anomali terkendali yang meniru kesalahan nyata [25]. Pada setiap ulangan, 20.000 transaksi bersih 2024 diambil acak dan 800 anomali (8 tipe × 100) disisipkan (kontaminasi 3,85%), sebanyak sepuluh ulangan (Tabel 3). Tipe A8 sengaja tidak memiliki aturan pasangan untuk menguji kemampuan menemukan pola yang tidak diantisipasi. Metrik yang dipakai adalah ROC-AUC, PR-AUC (</w:t>
      </w:r>
      <w:r>
        <w:rPr>
          <w:rFonts w:ascii="Times New Roman" w:hAnsi="Times New Roman" w:eastAsia="Times New Roman"/>
          <w:b w:val="0"/>
          <w:i/>
          <w:sz w:val="20"/>
        </w:rPr>
        <w:t>average precision</w:t>
      </w:r>
      <w:r>
        <w:rPr>
          <w:rFonts w:ascii="Times New Roman" w:hAnsi="Times New Roman" w:eastAsia="Times New Roman"/>
          <w:b w:val="0"/>
          <w:i w:val="0"/>
          <w:sz w:val="20"/>
        </w:rPr>
        <w:t>), presisi pada k = jumlah anomali (P@k), Recall pada anggaran audit 5%, serta presisi, recall, dan F1 pada ambang operasional. Perbedaan antarmetode diuji dengan Friedman dan Wilcoxon berpasangan terkoreksi Holm. Analisis sensitivitas mencakup k LOF, jumlah pohon IF, arsitektur AE, ukuran data latih, dan strategi fusi; ablasi membandingkan fitur dasar dengan fitur dasar + domain.</w:t>
      </w:r>
    </w:p>
    <w:p>
      <w:pPr>
        <w:keepNext/>
        <w:spacing w:before="80" w:after="0" w:line="240" w:lineRule="auto"/>
        <w:jc w:val="center"/>
      </w:pPr>
      <w:r>
        <w:rPr>
          <w:rFonts w:ascii="Times New Roman" w:hAnsi="Times New Roman" w:eastAsia="Times New Roman"/>
          <w:b w:val="0"/>
          <w:i w:val="0"/>
          <w:sz w:val="16"/>
        </w:rPr>
        <w:t>Tabel 3: Tipe anomali injeksi (100 per tipe per ulangan)</w:t>
      </w:r>
    </w:p>
    <w:tbl>
      <w:tblPr>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W w:w="8731" w:type="dxa"/>
        <w:tblLayout w:type="fixed"/>
      </w:tblPr>
      <w:tblGrid>
        <w:gridCol w:w="567"/>
        <w:gridCol w:w="2494"/>
        <w:gridCol w:w="1360"/>
        <w:gridCol w:w="4309"/>
      </w:tblGrid>
      <w:tr>
        <w:tc>
          <w:tcPr>
            <w:tcW w:type="dxa" w:w="567"/>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5"/>
              </w:rPr>
              <w:t>Kode</w:t>
            </w:r>
          </w:p>
        </w:tc>
        <w:tc>
          <w:tcPr>
            <w:tcW w:type="dxa" w:w="2494"/>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5"/>
              </w:rPr>
              <w:t>Tipe anomali</w:t>
            </w:r>
          </w:p>
        </w:tc>
        <w:tc>
          <w:tcPr>
            <w:tcW w:type="dxa" w:w="1361"/>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5"/>
              </w:rPr>
              <w:t>Aturan terkait</w:t>
            </w:r>
          </w:p>
        </w:tc>
        <w:tc>
          <w:tcPr>
            <w:tcW w:type="dxa" w:w="4309"/>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5"/>
              </w:rPr>
              <w:t>Cara injeksi</w:t>
            </w:r>
          </w:p>
        </w:tc>
      </w:tr>
      <w:tr>
        <w:tc>
          <w:tcPr>
            <w:tcW w:type="dxa" w:w="567"/>
            <w:tcMar>
              <w:top w:w="15" w:type="dxa"/>
              <w:bottom w:w="15" w:type="dxa"/>
            </w:tcMar>
          </w:tcPr>
          <w:p>
            <w:pPr>
              <w:spacing w:before="0" w:after="0" w:line="240" w:lineRule="auto"/>
              <w:jc w:val="left"/>
            </w:pPr>
            <w:r/>
            <w:r>
              <w:rPr>
                <w:rFonts w:ascii="Times New Roman" w:hAnsi="Times New Roman" w:eastAsia="Times New Roman"/>
                <w:b w:val="0"/>
                <w:i w:val="0"/>
                <w:sz w:val="15"/>
              </w:rPr>
              <w:t>A1</w:t>
            </w:r>
          </w:p>
        </w:tc>
        <w:tc>
          <w:tcPr>
            <w:tcW w:type="dxa" w:w="2494"/>
            <w:tcMar>
              <w:top w:w="15" w:type="dxa"/>
              <w:bottom w:w="15" w:type="dxa"/>
            </w:tcMar>
          </w:tcPr>
          <w:p>
            <w:pPr>
              <w:spacing w:before="0" w:after="0" w:line="240" w:lineRule="auto"/>
              <w:jc w:val="left"/>
            </w:pPr>
            <w:r/>
            <w:r>
              <w:rPr>
                <w:rFonts w:ascii="Times New Roman" w:hAnsi="Times New Roman" w:eastAsia="Times New Roman"/>
                <w:b w:val="0"/>
                <w:i w:val="0"/>
                <w:sz w:val="15"/>
              </w:rPr>
              <w:t>Denda tanpa tunggakan</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5"/>
              </w:rPr>
              <w:t>R01</w:t>
            </w:r>
          </w:p>
        </w:tc>
        <w:tc>
          <w:tcPr>
            <w:tcW w:type="dxa" w:w="4309"/>
            <w:tcMar>
              <w:top w:w="15" w:type="dxa"/>
              <w:bottom w:w="15" w:type="dxa"/>
            </w:tcMar>
          </w:tcPr>
          <w:p>
            <w:pPr>
              <w:spacing w:before="0" w:after="0" w:line="240" w:lineRule="auto"/>
              <w:jc w:val="left"/>
            </w:pPr>
            <w:r/>
            <w:r>
              <w:rPr>
                <w:rFonts w:ascii="Times New Roman" w:hAnsi="Times New Roman" w:eastAsia="Times New Roman"/>
                <w:b w:val="0"/>
                <w:i w:val="0"/>
                <w:sz w:val="15"/>
              </w:rPr>
              <w:t>denda tahun tunggakan ke-2 = 5–25% pokok, tanpa pokok tunggakan</w:t>
            </w:r>
          </w:p>
        </w:tc>
      </w:tr>
      <w:tr>
        <w:tc>
          <w:tcPr>
            <w:tcW w:type="dxa" w:w="567"/>
            <w:tcMar>
              <w:top w:w="15" w:type="dxa"/>
              <w:bottom w:w="15" w:type="dxa"/>
            </w:tcMar>
          </w:tcPr>
          <w:p>
            <w:pPr>
              <w:spacing w:before="0" w:after="0" w:line="240" w:lineRule="auto"/>
              <w:jc w:val="left"/>
            </w:pPr>
            <w:r/>
            <w:r>
              <w:rPr>
                <w:rFonts w:ascii="Times New Roman" w:hAnsi="Times New Roman" w:eastAsia="Times New Roman"/>
                <w:b w:val="0"/>
                <w:i w:val="0"/>
                <w:sz w:val="15"/>
              </w:rPr>
              <w:t>A2</w:t>
            </w:r>
          </w:p>
        </w:tc>
        <w:tc>
          <w:tcPr>
            <w:tcW w:type="dxa" w:w="2494"/>
            <w:tcMar>
              <w:top w:w="15" w:type="dxa"/>
              <w:bottom w:w="15" w:type="dxa"/>
            </w:tcMar>
          </w:tcPr>
          <w:p>
            <w:pPr>
              <w:spacing w:before="0" w:after="0" w:line="240" w:lineRule="auto"/>
              <w:jc w:val="left"/>
            </w:pPr>
            <w:r/>
            <w:r>
              <w:rPr>
                <w:rFonts w:ascii="Times New Roman" w:hAnsi="Times New Roman" w:eastAsia="Times New Roman"/>
                <w:b w:val="0"/>
                <w:i w:val="0"/>
                <w:sz w:val="15"/>
              </w:rPr>
              <w:t>Kode mutasi tidak konsisten</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5"/>
              </w:rPr>
              <w:t>R07</w:t>
            </w:r>
          </w:p>
        </w:tc>
        <w:tc>
          <w:tcPr>
            <w:tcW w:type="dxa" w:w="4309"/>
            <w:tcMar>
              <w:top w:w="15" w:type="dxa"/>
              <w:bottom w:w="15" w:type="dxa"/>
            </w:tcMar>
          </w:tcPr>
          <w:p>
            <w:pPr>
              <w:spacing w:before="0" w:after="0" w:line="240" w:lineRule="auto"/>
              <w:jc w:val="left"/>
            </w:pPr>
            <w:r/>
            <w:r>
              <w:rPr>
                <w:rFonts w:ascii="Times New Roman" w:hAnsi="Times New Roman" w:eastAsia="Times New Roman"/>
                <w:b w:val="0"/>
                <w:i w:val="0"/>
                <w:sz w:val="15"/>
              </w:rPr>
              <w:t>kd_jen_mutasi diganti kode yang bertentangan dengan jenis permohonan</w:t>
            </w:r>
          </w:p>
        </w:tc>
      </w:tr>
      <w:tr>
        <w:tc>
          <w:tcPr>
            <w:tcW w:type="dxa" w:w="567"/>
            <w:tcMar>
              <w:top w:w="15" w:type="dxa"/>
              <w:bottom w:w="15" w:type="dxa"/>
            </w:tcMar>
          </w:tcPr>
          <w:p>
            <w:pPr>
              <w:spacing w:before="0" w:after="0" w:line="240" w:lineRule="auto"/>
              <w:jc w:val="left"/>
            </w:pPr>
            <w:r/>
            <w:r>
              <w:rPr>
                <w:rFonts w:ascii="Times New Roman" w:hAnsi="Times New Roman" w:eastAsia="Times New Roman"/>
                <w:b w:val="0"/>
                <w:i w:val="0"/>
                <w:sz w:val="15"/>
              </w:rPr>
              <w:t>A3</w:t>
            </w:r>
          </w:p>
        </w:tc>
        <w:tc>
          <w:tcPr>
            <w:tcW w:type="dxa" w:w="2494"/>
            <w:tcMar>
              <w:top w:w="15" w:type="dxa"/>
              <w:bottom w:w="15" w:type="dxa"/>
            </w:tcMar>
          </w:tcPr>
          <w:p>
            <w:pPr>
              <w:spacing w:before="0" w:after="0" w:line="240" w:lineRule="auto"/>
              <w:jc w:val="left"/>
            </w:pPr>
            <w:r/>
            <w:r>
              <w:rPr>
                <w:rFonts w:ascii="Times New Roman" w:hAnsi="Times New Roman" w:eastAsia="Times New Roman"/>
                <w:b w:val="0"/>
                <w:i w:val="0"/>
                <w:sz w:val="15"/>
              </w:rPr>
              <w:t>Nilai PKB lintas jenis</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5"/>
              </w:rPr>
              <w:t>R09 (sebagian)</w:t>
            </w:r>
          </w:p>
        </w:tc>
        <w:tc>
          <w:tcPr>
            <w:tcW w:type="dxa" w:w="4309"/>
            <w:tcMar>
              <w:top w:w="15" w:type="dxa"/>
              <w:bottom w:w="15" w:type="dxa"/>
            </w:tcMar>
          </w:tcPr>
          <w:p>
            <w:pPr>
              <w:spacing w:before="0" w:after="0" w:line="240" w:lineRule="auto"/>
              <w:jc w:val="left"/>
            </w:pPr>
            <w:r/>
            <w:r>
              <w:rPr>
                <w:rFonts w:ascii="Times New Roman" w:hAnsi="Times New Roman" w:eastAsia="Times New Roman"/>
                <w:b w:val="0"/>
                <w:i w:val="0"/>
                <w:sz w:val="15"/>
              </w:rPr>
              <w:t>pokok motor ↔ mobil diambil dari distribusi jenis lain</w:t>
            </w:r>
          </w:p>
        </w:tc>
      </w:tr>
      <w:tr>
        <w:tc>
          <w:tcPr>
            <w:tcW w:type="dxa" w:w="567"/>
            <w:tcMar>
              <w:top w:w="15" w:type="dxa"/>
              <w:bottom w:w="15" w:type="dxa"/>
            </w:tcMar>
          </w:tcPr>
          <w:p>
            <w:pPr>
              <w:spacing w:before="0" w:after="0" w:line="240" w:lineRule="auto"/>
              <w:jc w:val="left"/>
            </w:pPr>
            <w:r/>
            <w:r>
              <w:rPr>
                <w:rFonts w:ascii="Times New Roman" w:hAnsi="Times New Roman" w:eastAsia="Times New Roman"/>
                <w:b w:val="0"/>
                <w:i w:val="0"/>
                <w:sz w:val="15"/>
              </w:rPr>
              <w:t>A4</w:t>
            </w:r>
          </w:p>
        </w:tc>
        <w:tc>
          <w:tcPr>
            <w:tcW w:type="dxa" w:w="2494"/>
            <w:tcMar>
              <w:top w:w="15" w:type="dxa"/>
              <w:bottom w:w="15" w:type="dxa"/>
            </w:tcMar>
          </w:tcPr>
          <w:p>
            <w:pPr>
              <w:spacing w:before="0" w:after="0" w:line="240" w:lineRule="auto"/>
              <w:jc w:val="left"/>
            </w:pPr>
            <w:r/>
            <w:r>
              <w:rPr>
                <w:rFonts w:ascii="Times New Roman" w:hAnsi="Times New Roman" w:eastAsia="Times New Roman"/>
                <w:b w:val="0"/>
                <w:i w:val="0"/>
                <w:sz w:val="15"/>
              </w:rPr>
              <w:t>Salah digit nilai pokok (x10 / /10)</w:t>
            </w:r>
          </w:p>
        </w:tc>
        <w:tc>
          <w:tcPr>
            <w:tcW w:type="dxa" w:w="1361"/>
            <w:tcMar>
              <w:top w:w="15" w:type="dxa"/>
              <w:bottom w:w="15" w:type="dxa"/>
            </w:tcMar>
          </w:tcPr>
          <w:p>
            <w:pPr>
              <w:spacing w:before="0" w:after="0" w:line="240" w:lineRule="auto"/>
              <w:jc w:val="left"/>
            </w:pPr>
            <w:r/>
            <w:r>
              <w:rPr>
                <w:rFonts w:ascii="Times New Roman" w:hAnsi="Times New Roman" w:eastAsia="Times New Roman"/>
                <w:b w:val="0"/>
                <w:i w:val="0"/>
                <w:sz w:val="15"/>
              </w:rPr>
              <w:t>R09/R04 (sebagian)</w:t>
            </w:r>
          </w:p>
        </w:tc>
        <w:tc>
          <w:tcPr>
            <w:tcW w:type="dxa" w:w="4309"/>
            <w:tcMar>
              <w:top w:w="15" w:type="dxa"/>
              <w:bottom w:w="15" w:type="dxa"/>
            </w:tcMar>
          </w:tcPr>
          <w:p>
            <w:pPr>
              <w:spacing w:before="0" w:after="0" w:line="240" w:lineRule="auto"/>
              <w:jc w:val="left"/>
            </w:pPr>
            <w:r/>
            <w:r>
              <w:rPr>
                <w:rFonts w:ascii="Times New Roman" w:hAnsi="Times New Roman" w:eastAsia="Times New Roman"/>
                <w:b w:val="0"/>
                <w:i w:val="0"/>
                <w:sz w:val="15"/>
              </w:rPr>
              <w:t>pokok PKB ×10 atau ÷10, denda tetap</w:t>
            </w:r>
          </w:p>
        </w:tc>
      </w:tr>
      <w:tr>
        <w:tc>
          <w:tcPr>
            <w:tcW w:type="dxa" w:w="567"/>
            <w:tcMar>
              <w:top w:w="15" w:type="dxa"/>
              <w:bottom w:w="15" w:type="dxa"/>
            </w:tcMar>
          </w:tcPr>
          <w:p>
            <w:pPr>
              <w:spacing w:before="0" w:after="0" w:line="240" w:lineRule="auto"/>
              <w:jc w:val="left"/>
            </w:pPr>
            <w:r/>
            <w:r>
              <w:rPr>
                <w:rFonts w:ascii="Times New Roman" w:hAnsi="Times New Roman" w:eastAsia="Times New Roman"/>
                <w:b w:val="0"/>
                <w:i w:val="0"/>
                <w:sz w:val="15"/>
              </w:rPr>
              <w:t>A5</w:t>
            </w:r>
          </w:p>
        </w:tc>
        <w:tc>
          <w:tcPr>
            <w:tcW w:type="dxa" w:w="2494"/>
            <w:tcMar>
              <w:top w:w="15" w:type="dxa"/>
              <w:bottom w:w="15" w:type="dxa"/>
            </w:tcMar>
          </w:tcPr>
          <w:p>
            <w:pPr>
              <w:spacing w:before="0" w:after="0" w:line="240" w:lineRule="auto"/>
              <w:jc w:val="left"/>
            </w:pPr>
            <w:r/>
            <w:r>
              <w:rPr>
                <w:rFonts w:ascii="Times New Roman" w:hAnsi="Times New Roman" w:eastAsia="Times New Roman"/>
                <w:b w:val="0"/>
                <w:i w:val="0"/>
                <w:sz w:val="15"/>
              </w:rPr>
              <w:t>Kode jenis kendaraan tertukar</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5"/>
              </w:rPr>
              <w:t>R09</w:t>
            </w:r>
          </w:p>
        </w:tc>
        <w:tc>
          <w:tcPr>
            <w:tcW w:type="dxa" w:w="4309"/>
            <w:tcMar>
              <w:top w:w="15" w:type="dxa"/>
              <w:bottom w:w="15" w:type="dxa"/>
            </w:tcMar>
          </w:tcPr>
          <w:p>
            <w:pPr>
              <w:spacing w:before="0" w:after="0" w:line="240" w:lineRule="auto"/>
              <w:jc w:val="left"/>
            </w:pPr>
            <w:r/>
            <w:r>
              <w:rPr>
                <w:rFonts w:ascii="Times New Roman" w:hAnsi="Times New Roman" w:eastAsia="Times New Roman"/>
                <w:b w:val="0"/>
                <w:i w:val="0"/>
                <w:sz w:val="15"/>
              </w:rPr>
              <w:t>kd_jenis_kb motor ↔ mobil/barang, nilai tetap</w:t>
            </w:r>
          </w:p>
        </w:tc>
      </w:tr>
      <w:tr>
        <w:tc>
          <w:tcPr>
            <w:tcW w:type="dxa" w:w="567"/>
            <w:tcMar>
              <w:top w:w="15" w:type="dxa"/>
              <w:bottom w:w="15" w:type="dxa"/>
            </w:tcMar>
          </w:tcPr>
          <w:p>
            <w:pPr>
              <w:spacing w:before="0" w:after="0" w:line="240" w:lineRule="auto"/>
              <w:jc w:val="left"/>
            </w:pPr>
            <w:r/>
            <w:r>
              <w:rPr>
                <w:rFonts w:ascii="Times New Roman" w:hAnsi="Times New Roman" w:eastAsia="Times New Roman"/>
                <w:b w:val="0"/>
                <w:i w:val="0"/>
                <w:sz w:val="15"/>
              </w:rPr>
              <w:t>A6</w:t>
            </w:r>
          </w:p>
        </w:tc>
        <w:tc>
          <w:tcPr>
            <w:tcW w:type="dxa" w:w="2494"/>
            <w:tcMar>
              <w:top w:w="15" w:type="dxa"/>
              <w:bottom w:w="15" w:type="dxa"/>
            </w:tcMar>
          </w:tcPr>
          <w:p>
            <w:pPr>
              <w:spacing w:before="0" w:after="0" w:line="240" w:lineRule="auto"/>
              <w:jc w:val="left"/>
            </w:pPr>
            <w:r/>
            <w:r>
              <w:rPr>
                <w:rFonts w:ascii="Times New Roman" w:hAnsi="Times New Roman" w:eastAsia="Times New Roman"/>
                <w:b w:val="0"/>
                <w:i w:val="0"/>
                <w:sz w:val="15"/>
              </w:rPr>
              <w:t>Tarif denda tunggakan salah</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5"/>
              </w:rPr>
              <w:t>R03</w:t>
            </w:r>
          </w:p>
        </w:tc>
        <w:tc>
          <w:tcPr>
            <w:tcW w:type="dxa" w:w="4309"/>
            <w:tcMar>
              <w:top w:w="15" w:type="dxa"/>
              <w:bottom w:w="15" w:type="dxa"/>
            </w:tcMar>
          </w:tcPr>
          <w:p>
            <w:pPr>
              <w:spacing w:before="0" w:after="0" w:line="240" w:lineRule="auto"/>
              <w:jc w:val="left"/>
            </w:pPr>
            <w:r/>
            <w:r>
              <w:rPr>
                <w:rFonts w:ascii="Times New Roman" w:hAnsi="Times New Roman" w:eastAsia="Times New Roman"/>
                <w:b w:val="0"/>
                <w:i w:val="0"/>
                <w:sz w:val="15"/>
              </w:rPr>
              <w:t>denda tunggakan 5–18% atau 32–50% dari tunggakan</w:t>
            </w:r>
          </w:p>
        </w:tc>
      </w:tr>
      <w:tr>
        <w:tc>
          <w:tcPr>
            <w:tcW w:type="dxa" w:w="567"/>
            <w:tcMar>
              <w:top w:w="15" w:type="dxa"/>
              <w:bottom w:w="15" w:type="dxa"/>
            </w:tcMar>
          </w:tcPr>
          <w:p>
            <w:pPr>
              <w:spacing w:before="0" w:after="0" w:line="240" w:lineRule="auto"/>
              <w:jc w:val="left"/>
            </w:pPr>
            <w:r/>
            <w:r>
              <w:rPr>
                <w:rFonts w:ascii="Times New Roman" w:hAnsi="Times New Roman" w:eastAsia="Times New Roman"/>
                <w:b w:val="0"/>
                <w:i w:val="0"/>
                <w:sz w:val="15"/>
              </w:rPr>
              <w:t>A7</w:t>
            </w:r>
          </w:p>
        </w:tc>
        <w:tc>
          <w:tcPr>
            <w:tcW w:type="dxa" w:w="2494"/>
            <w:tcMar>
              <w:top w:w="15" w:type="dxa"/>
              <w:bottom w:w="15" w:type="dxa"/>
            </w:tcMar>
          </w:tcPr>
          <w:p>
            <w:pPr>
              <w:spacing w:before="0" w:after="0" w:line="240" w:lineRule="auto"/>
              <w:jc w:val="left"/>
            </w:pPr>
            <w:r/>
            <w:r>
              <w:rPr>
                <w:rFonts w:ascii="Times New Roman" w:hAnsi="Times New Roman" w:eastAsia="Times New Roman"/>
                <w:b w:val="0"/>
                <w:i w:val="0"/>
                <w:sz w:val="15"/>
              </w:rPr>
              <w:t>Tunggakan menggelembung (x2,5-5)</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5"/>
              </w:rPr>
              <w:t>R10 (sebagian)</w:t>
            </w:r>
          </w:p>
        </w:tc>
        <w:tc>
          <w:tcPr>
            <w:tcW w:type="dxa" w:w="4309"/>
            <w:tcMar>
              <w:top w:w="15" w:type="dxa"/>
              <w:bottom w:w="15" w:type="dxa"/>
            </w:tcMar>
          </w:tcPr>
          <w:p>
            <w:pPr>
              <w:spacing w:before="0" w:after="0" w:line="240" w:lineRule="auto"/>
              <w:jc w:val="left"/>
            </w:pPr>
            <w:r/>
            <w:r>
              <w:rPr>
                <w:rFonts w:ascii="Times New Roman" w:hAnsi="Times New Roman" w:eastAsia="Times New Roman"/>
                <w:b w:val="0"/>
                <w:i w:val="0"/>
                <w:sz w:val="15"/>
              </w:rPr>
              <w:t>pokok &amp; denda tunggakan ×2,5–5 (rasio 25% dipertahankan)</w:t>
            </w:r>
          </w:p>
        </w:tc>
      </w:tr>
      <w:tr>
        <w:tc>
          <w:tcPr>
            <w:tcW w:type="dxa" w:w="567"/>
            <w:tcMar>
              <w:top w:w="15" w:type="dxa"/>
              <w:bottom w:w="15" w:type="dxa"/>
            </w:tcMar>
          </w:tcPr>
          <w:p>
            <w:pPr>
              <w:spacing w:before="0" w:after="0" w:line="240" w:lineRule="auto"/>
              <w:jc w:val="left"/>
            </w:pPr>
            <w:r/>
            <w:r>
              <w:rPr>
                <w:rFonts w:ascii="Times New Roman" w:hAnsi="Times New Roman" w:eastAsia="Times New Roman"/>
                <w:b w:val="0"/>
                <w:i w:val="0"/>
                <w:sz w:val="15"/>
              </w:rPr>
              <w:t>A8</w:t>
            </w:r>
          </w:p>
        </w:tc>
        <w:tc>
          <w:tcPr>
            <w:tcW w:type="dxa" w:w="2494"/>
            <w:tcMar>
              <w:top w:w="15" w:type="dxa"/>
              <w:bottom w:w="15" w:type="dxa"/>
            </w:tcMar>
          </w:tcPr>
          <w:p>
            <w:pPr>
              <w:spacing w:before="0" w:after="0" w:line="240" w:lineRule="auto"/>
              <w:jc w:val="left"/>
            </w:pPr>
            <w:r/>
            <w:r>
              <w:rPr>
                <w:rFonts w:ascii="Times New Roman" w:hAnsi="Times New Roman" w:eastAsia="Times New Roman"/>
                <w:b w:val="0"/>
                <w:i w:val="0"/>
                <w:sz w:val="15"/>
              </w:rPr>
              <w:t>Nilai BBNKB janggal (x/÷ 5-12)</w:t>
            </w:r>
          </w:p>
        </w:tc>
        <w:tc>
          <w:tcPr>
            <w:tcW w:type="dxa" w:w="1361"/>
            <w:tcMar>
              <w:top w:w="15" w:type="dxa"/>
              <w:bottom w:w="15" w:type="dxa"/>
            </w:tcMar>
          </w:tcPr>
          <w:p>
            <w:pPr>
              <w:spacing w:before="0" w:after="0" w:line="240" w:lineRule="auto"/>
              <w:jc w:val="left"/>
            </w:pPr>
            <w:r/>
            <w:r>
              <w:rPr>
                <w:rFonts w:ascii="Times New Roman" w:hAnsi="Times New Roman" w:eastAsia="Times New Roman"/>
                <w:b w:val="0"/>
                <w:i w:val="0"/>
                <w:sz w:val="15"/>
              </w:rPr>
              <w:t>- (tanpa aturan)</w:t>
            </w:r>
          </w:p>
        </w:tc>
        <w:tc>
          <w:tcPr>
            <w:tcW w:type="dxa" w:w="4309"/>
            <w:tcMar>
              <w:top w:w="15" w:type="dxa"/>
              <w:bottom w:w="15" w:type="dxa"/>
            </w:tcMar>
          </w:tcPr>
          <w:p>
            <w:pPr>
              <w:spacing w:before="0" w:after="0" w:line="240" w:lineRule="auto"/>
              <w:jc w:val="left"/>
            </w:pPr>
            <w:r/>
            <w:r>
              <w:rPr>
                <w:rFonts w:ascii="Times New Roman" w:hAnsi="Times New Roman" w:eastAsia="Times New Roman"/>
                <w:b w:val="0"/>
                <w:i w:val="0"/>
                <w:sz w:val="15"/>
              </w:rPr>
              <w:t>BBNKB ×5–12 atau ÷5–12</w:t>
            </w:r>
          </w:p>
        </w:tc>
      </w:tr>
    </w:tbl>
    <w:p>
      <w:pPr>
        <w:spacing w:before="0" w:after="0" w:line="240" w:lineRule="auto"/>
        <w:jc w:val="both"/>
      </w:pPr>
    </w:p>
    <w:p>
      <w:pPr>
        <w:spacing w:before="0" w:after="0" w:line="240" w:lineRule="auto"/>
        <w:jc w:val="both"/>
      </w:pPr>
    </w:p>
    <w:p>
      <w:pPr>
        <w:keepNext/>
        <w:spacing w:before="0" w:after="60" w:line="240" w:lineRule="auto"/>
        <w:jc w:val="left"/>
      </w:pPr>
      <w:r>
        <w:rPr>
          <w:rFonts w:ascii="Times New Roman" w:hAnsi="Times New Roman" w:eastAsia="Times New Roman"/>
          <w:b/>
          <w:i w:val="0"/>
          <w:sz w:val="20"/>
        </w:rPr>
        <w:t>3. Hasil dan Pembahasan</w:t>
      </w:r>
    </w:p>
    <w:p>
      <w:pPr>
        <w:keepNext/>
        <w:spacing w:before="80" w:after="40" w:line="240" w:lineRule="auto"/>
        <w:jc w:val="left"/>
      </w:pPr>
      <w:r>
        <w:rPr>
          <w:rFonts w:ascii="Times New Roman" w:hAnsi="Times New Roman" w:eastAsia="Times New Roman"/>
          <w:b/>
          <w:i w:val="0"/>
          <w:sz w:val="20"/>
        </w:rPr>
        <w:t>3.1 Profil kualitas data dan pergeseran skema kode</w:t>
      </w:r>
    </w:p>
    <w:p>
      <w:pPr>
        <w:spacing w:before="0" w:after="0" w:line="240" w:lineRule="auto"/>
        <w:jc w:val="both"/>
      </w:pPr>
      <w:r>
        <w:rPr>
          <w:rFonts w:ascii="Times New Roman" w:hAnsi="Times New Roman" w:eastAsia="Times New Roman"/>
          <w:b w:val="0"/>
          <w:i w:val="0"/>
          <w:sz w:val="20"/>
        </w:rPr>
        <w:t>Gambar 3 menunjukkan bahwa pada 2024 kode status 3/4 digantikan seluruhnya oleh 5/6 (JSD = 1,000), dan transaksi daftar ulang yang disertai mutasi berpindah dari kode permohonan 1 ke 2 (pasangan 1|7 → 2|7 dengan volume setara; JSD = 0,189). Setelah harmonisasi, JSD turun menjadi 0,0007 dan 0,0070. Tanpa langkah ini, ribuan transaksi 2024 akan ditandai keliru sebagai kode tidak konsisten, dan detektor ML mengalami pergeseran distribusi; temuan ini menegaskan pentingnya pemantauan drift pada data operasional [26].</w:t>
      </w:r>
    </w:p>
    <w:p>
      <w:pPr>
        <w:keepNext/>
        <w:spacing w:before="80" w:after="0" w:line="240" w:lineRule="auto"/>
        <w:jc w:val="center"/>
      </w:pPr>
      <w:r>
        <w:drawing>
          <wp:inline xmlns:a="http://schemas.openxmlformats.org/drawingml/2006/main" xmlns:pic="http://schemas.openxmlformats.org/drawingml/2006/picture">
            <wp:extent cx="5220000" cy="2473191"/>
            <wp:docPr id="3" name="Picture 3"/>
            <wp:cNvGraphicFramePr>
              <a:graphicFrameLocks noChangeAspect="1"/>
            </wp:cNvGraphicFramePr>
            <a:graphic>
              <a:graphicData uri="http://schemas.openxmlformats.org/drawingml/2006/picture">
                <pic:pic>
                  <pic:nvPicPr>
                    <pic:cNvPr id="0" name="F16_pergeseran_kode.png"/>
                    <pic:cNvPicPr/>
                  </pic:nvPicPr>
                  <pic:blipFill>
                    <a:blip r:embed="rId15"/>
                    <a:stretch>
                      <a:fillRect/>
                    </a:stretch>
                  </pic:blipFill>
                  <pic:spPr>
                    <a:xfrm>
                      <a:off x="0" y="0"/>
                      <a:ext cx="5220000" cy="2473191"/>
                    </a:xfrm>
                    <a:prstGeom prst="rect"/>
                  </pic:spPr>
                </pic:pic>
              </a:graphicData>
            </a:graphic>
          </wp:inline>
        </w:drawing>
      </w:r>
    </w:p>
    <w:p>
      <w:pPr>
        <w:spacing w:before="0" w:after="80" w:line="240" w:lineRule="auto"/>
        <w:jc w:val="center"/>
      </w:pPr>
      <w:r>
        <w:rPr>
          <w:rFonts w:ascii="Times New Roman" w:hAnsi="Times New Roman" w:eastAsia="Times New Roman"/>
          <w:b w:val="0"/>
          <w:i w:val="0"/>
          <w:sz w:val="18"/>
        </w:rPr>
        <w:t>Gambar 3: Pergeseran skema kode 2024: JSD sebelum/sesudah harmonisasi (kiri) dan perubahan volume pasangan kode (kanan)</w:t>
      </w:r>
    </w:p>
    <w:p>
      <w:pPr>
        <w:spacing w:before="0" w:after="0" w:line="240" w:lineRule="auto"/>
        <w:jc w:val="both"/>
      </w:pPr>
      <w:r>
        <w:rPr>
          <w:rFonts w:ascii="Times New Roman" w:hAnsi="Times New Roman" w:eastAsia="Times New Roman"/>
          <w:b w:val="0"/>
          <w:i w:val="0"/>
          <w:sz w:val="20"/>
        </w:rPr>
        <w:t>Secara keseluruhan 10.103 transaksi (5,21%) melanggar sedikitnya satu aturan (Gambar 4). Pelanggaran terbanyak adalah nilai PKB janggal untuk jenis kendaraan (R09, ±2,0–2,3% per tahun) dan tunggakan tanpa pokok tahun berjalan (R06), yang naik dari 1,34% (2021) menjadi 2,92% (2024). Tunggakan tanpa denda (R02) dan tarif denda tunggakan menyimpang (R03) muncul pada 2021–2022 lalu menghilang pada 2024, konsisten dengan dugaan adanya kebijakan relaksasi denda pada masa pandemi yang perlu dikonfirmasi ke Bapenda. Sebaliknya, R08 melonjak menjadi 775 transaksi pada 2024; sebagian besar berasal dari pasangan 2|4 tanpa BBNKB, yaitu akibat penggabungan dua makna kode ke dalam satu kode baru. Hal ini menunjukkan bahwa pengodean ulang tidak hanya mengubah label, tetapi juga menghilangkan informasi semantik. Selain itu terdapat 7.051 transaksi bernilai nol (3,6%) dan 2.763 nomor polisi dengan format tidak baku.</w:t>
      </w:r>
    </w:p>
    <w:p>
      <w:pPr>
        <w:keepNext/>
        <w:spacing w:before="80" w:after="0" w:line="240" w:lineRule="auto"/>
        <w:jc w:val="center"/>
      </w:pPr>
      <w:r>
        <w:drawing>
          <wp:inline xmlns:a="http://schemas.openxmlformats.org/drawingml/2006/main" xmlns:pic="http://schemas.openxmlformats.org/drawingml/2006/picture">
            <wp:extent cx="5220000" cy="2422971"/>
            <wp:docPr id="4" name="Picture 4"/>
            <wp:cNvGraphicFramePr>
              <a:graphicFrameLocks noChangeAspect="1"/>
            </wp:cNvGraphicFramePr>
            <a:graphic>
              <a:graphicData uri="http://schemas.openxmlformats.org/drawingml/2006/picture">
                <pic:pic>
                  <pic:nvPicPr>
                    <pic:cNvPr id="0" name="F03_prevalensi_aturan.png"/>
                    <pic:cNvPicPr/>
                  </pic:nvPicPr>
                  <pic:blipFill>
                    <a:blip r:embed="rId16"/>
                    <a:stretch>
                      <a:fillRect/>
                    </a:stretch>
                  </pic:blipFill>
                  <pic:spPr>
                    <a:xfrm>
                      <a:off x="0" y="0"/>
                      <a:ext cx="5220000" cy="2422971"/>
                    </a:xfrm>
                    <a:prstGeom prst="rect"/>
                  </pic:spPr>
                </pic:pic>
              </a:graphicData>
            </a:graphic>
          </wp:inline>
        </w:drawing>
      </w:r>
    </w:p>
    <w:p>
      <w:pPr>
        <w:spacing w:before="0" w:after="80" w:line="240" w:lineRule="auto"/>
        <w:jc w:val="center"/>
      </w:pPr>
      <w:r>
        <w:rPr>
          <w:rFonts w:ascii="Times New Roman" w:hAnsi="Times New Roman" w:eastAsia="Times New Roman"/>
          <w:b w:val="0"/>
          <w:i w:val="0"/>
          <w:sz w:val="18"/>
        </w:rPr>
        <w:t>Gambar 4: Prevalensi pelanggaran aturan domain per tahun (persentase dan jumlah transaksi)</w:t>
      </w:r>
    </w:p>
    <w:p>
      <w:pPr>
        <w:keepNext/>
        <w:spacing w:before="80" w:after="0" w:line="240" w:lineRule="auto"/>
        <w:jc w:val="center"/>
      </w:pPr>
      <w:r>
        <w:rPr>
          <w:rFonts w:ascii="Times New Roman" w:hAnsi="Times New Roman" w:eastAsia="Times New Roman"/>
          <w:b w:val="0"/>
          <w:i w:val="0"/>
          <w:sz w:val="16"/>
        </w:rPr>
        <w:t>Tabel 4: Kartu skor kualitas data SAMSAT per dimensi (%) dan jumlah pelanggaran aturan</w:t>
      </w:r>
    </w:p>
    <w:tbl>
      <w:tblPr>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W w:w="8675" w:type="dxa"/>
        <w:tblLayout w:type="fixed"/>
      </w:tblPr>
      <w:tblGrid>
        <w:gridCol w:w="623"/>
        <w:gridCol w:w="1020"/>
        <w:gridCol w:w="907"/>
        <w:gridCol w:w="1020"/>
        <w:gridCol w:w="850"/>
        <w:gridCol w:w="1020"/>
        <w:gridCol w:w="850"/>
        <w:gridCol w:w="907"/>
        <w:gridCol w:w="1474"/>
      </w:tblGrid>
      <w:tr>
        <w:tc>
          <w:tcPr>
            <w:tcW w:type="dxa" w:w="624"/>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Tahun</w:t>
            </w:r>
          </w:p>
        </w:tc>
        <w:tc>
          <w:tcPr>
            <w:tcW w:type="dxa" w:w="1020"/>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Kelengkapan</w:t>
            </w:r>
          </w:p>
        </w:tc>
        <w:tc>
          <w:tcPr>
            <w:tcW w:type="dxa" w:w="907"/>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Validitas</w:t>
            </w:r>
          </w:p>
        </w:tc>
        <w:tc>
          <w:tcPr>
            <w:tcW w:type="dxa" w:w="1020"/>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Konsistensi</w:t>
            </w:r>
          </w:p>
        </w:tc>
        <w:tc>
          <w:tcPr>
            <w:tcW w:type="dxa" w:w="850"/>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Akurasi</w:t>
            </w:r>
          </w:p>
        </w:tc>
        <w:tc>
          <w:tcPr>
            <w:tcW w:type="dxa" w:w="1020"/>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Plausibilitas</w:t>
            </w:r>
          </w:p>
        </w:tc>
        <w:tc>
          <w:tcPr>
            <w:tcW w:type="dxa" w:w="850"/>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Keunikan</w:t>
            </w:r>
          </w:p>
        </w:tc>
        <w:tc>
          <w:tcPr>
            <w:tcW w:type="dxa" w:w="907"/>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Indeks DQ</w:t>
            </w:r>
          </w:p>
        </w:tc>
        <w:tc>
          <w:tcPr>
            <w:tcW w:type="dxa" w:w="1474"/>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Pelanggaran aturan</w:t>
            </w:r>
          </w:p>
        </w:tc>
      </w:tr>
      <w:tr>
        <w:tc>
          <w:tcPr>
            <w:tcW w:type="dxa" w:w="624"/>
            <w:tcMar>
              <w:top w:w="15" w:type="dxa"/>
              <w:bottom w:w="15" w:type="dxa"/>
            </w:tcMar>
          </w:tcPr>
          <w:p>
            <w:pPr>
              <w:spacing w:before="0" w:after="0" w:line="240" w:lineRule="auto"/>
              <w:jc w:val="left"/>
            </w:pPr>
            <w:r/>
            <w:r>
              <w:rPr>
                <w:rFonts w:ascii="Times New Roman" w:hAnsi="Times New Roman" w:eastAsia="Times New Roman"/>
                <w:b w:val="0"/>
                <w:i w:val="0"/>
                <w:sz w:val="16"/>
              </w:rPr>
              <w:t>2021</w:t>
            </w:r>
          </w:p>
        </w:tc>
        <w:tc>
          <w:tcPr>
            <w:tcW w:type="dxa" w:w="1020"/>
            <w:tcMar>
              <w:top w:w="15" w:type="dxa"/>
              <w:bottom w:w="15" w:type="dxa"/>
            </w:tcMar>
          </w:tcPr>
          <w:p>
            <w:pPr>
              <w:spacing w:before="0" w:after="0" w:line="240" w:lineRule="auto"/>
              <w:jc w:val="center"/>
            </w:pPr>
            <w:r/>
            <w:r>
              <w:rPr>
                <w:rFonts w:ascii="Times New Roman" w:hAnsi="Times New Roman" w:eastAsia="Times New Roman"/>
                <w:b w:val="0"/>
                <w:i w:val="0"/>
                <w:sz w:val="16"/>
              </w:rPr>
              <w:t>100,00</w:t>
            </w:r>
          </w:p>
        </w:tc>
        <w:tc>
          <w:tcPr>
            <w:tcW w:type="dxa" w:w="907"/>
            <w:tcMar>
              <w:top w:w="15" w:type="dxa"/>
              <w:bottom w:w="15" w:type="dxa"/>
            </w:tcMar>
          </w:tcPr>
          <w:p>
            <w:pPr>
              <w:spacing w:before="0" w:after="0" w:line="240" w:lineRule="auto"/>
              <w:jc w:val="center"/>
            </w:pPr>
            <w:r/>
            <w:r>
              <w:rPr>
                <w:rFonts w:ascii="Times New Roman" w:hAnsi="Times New Roman" w:eastAsia="Times New Roman"/>
                <w:b w:val="0"/>
                <w:i w:val="0"/>
                <w:sz w:val="16"/>
              </w:rPr>
              <w:t>98,06</w:t>
            </w:r>
          </w:p>
        </w:tc>
        <w:tc>
          <w:tcPr>
            <w:tcW w:type="dxa" w:w="1020"/>
            <w:tcMar>
              <w:top w:w="15" w:type="dxa"/>
              <w:bottom w:w="15" w:type="dxa"/>
            </w:tcMar>
          </w:tcPr>
          <w:p>
            <w:pPr>
              <w:spacing w:before="0" w:after="0" w:line="240" w:lineRule="auto"/>
              <w:jc w:val="center"/>
            </w:pPr>
            <w:r/>
            <w:r>
              <w:rPr>
                <w:rFonts w:ascii="Times New Roman" w:hAnsi="Times New Roman" w:eastAsia="Times New Roman"/>
                <w:b w:val="0"/>
                <w:i w:val="0"/>
                <w:sz w:val="16"/>
              </w:rPr>
              <w:t>97,69</w:t>
            </w:r>
          </w:p>
        </w:tc>
        <w:tc>
          <w:tcPr>
            <w:tcW w:type="dxa" w:w="850"/>
            <w:tcMar>
              <w:top w:w="15" w:type="dxa"/>
              <w:bottom w:w="15" w:type="dxa"/>
            </w:tcMar>
          </w:tcPr>
          <w:p>
            <w:pPr>
              <w:spacing w:before="0" w:after="0" w:line="240" w:lineRule="auto"/>
              <w:jc w:val="center"/>
            </w:pPr>
            <w:r/>
            <w:r>
              <w:rPr>
                <w:rFonts w:ascii="Times New Roman" w:hAnsi="Times New Roman" w:eastAsia="Times New Roman"/>
                <w:b w:val="0"/>
                <w:i w:val="0"/>
                <w:sz w:val="16"/>
              </w:rPr>
              <w:t>99,74</w:t>
            </w:r>
          </w:p>
        </w:tc>
        <w:tc>
          <w:tcPr>
            <w:tcW w:type="dxa" w:w="1020"/>
            <w:tcMar>
              <w:top w:w="15" w:type="dxa"/>
              <w:bottom w:w="15" w:type="dxa"/>
            </w:tcMar>
          </w:tcPr>
          <w:p>
            <w:pPr>
              <w:spacing w:before="0" w:after="0" w:line="240" w:lineRule="auto"/>
              <w:jc w:val="center"/>
            </w:pPr>
            <w:r/>
            <w:r>
              <w:rPr>
                <w:rFonts w:ascii="Times New Roman" w:hAnsi="Times New Roman" w:eastAsia="Times New Roman"/>
                <w:b w:val="0"/>
                <w:i w:val="0"/>
                <w:sz w:val="16"/>
              </w:rPr>
              <w:t>97,83</w:t>
            </w:r>
          </w:p>
        </w:tc>
        <w:tc>
          <w:tcPr>
            <w:tcW w:type="dxa" w:w="850"/>
            <w:tcMar>
              <w:top w:w="15" w:type="dxa"/>
              <w:bottom w:w="15" w:type="dxa"/>
            </w:tcMar>
          </w:tcPr>
          <w:p>
            <w:pPr>
              <w:spacing w:before="0" w:after="0" w:line="240" w:lineRule="auto"/>
              <w:jc w:val="center"/>
            </w:pPr>
            <w:r/>
            <w:r>
              <w:rPr>
                <w:rFonts w:ascii="Times New Roman" w:hAnsi="Times New Roman" w:eastAsia="Times New Roman"/>
                <w:b w:val="0"/>
                <w:i w:val="0"/>
                <w:sz w:val="16"/>
              </w:rPr>
              <w:t>100,00</w:t>
            </w:r>
          </w:p>
        </w:tc>
        <w:tc>
          <w:tcPr>
            <w:tcW w:type="dxa" w:w="907"/>
            <w:tcMar>
              <w:top w:w="15" w:type="dxa"/>
              <w:bottom w:w="15" w:type="dxa"/>
            </w:tcMar>
          </w:tcPr>
          <w:p>
            <w:pPr>
              <w:spacing w:before="0" w:after="0" w:line="240" w:lineRule="auto"/>
              <w:jc w:val="center"/>
            </w:pPr>
            <w:r/>
            <w:r>
              <w:rPr>
                <w:rFonts w:ascii="Times New Roman" w:hAnsi="Times New Roman" w:eastAsia="Times New Roman"/>
                <w:b w:val="0"/>
                <w:i w:val="0"/>
                <w:sz w:val="16"/>
              </w:rPr>
              <w:t>98,89</w:t>
            </w:r>
          </w:p>
        </w:tc>
        <w:tc>
          <w:tcPr>
            <w:tcW w:type="dxa" w:w="1474"/>
            <w:tcMar>
              <w:top w:w="15" w:type="dxa"/>
              <w:bottom w:w="15" w:type="dxa"/>
            </w:tcMar>
          </w:tcPr>
          <w:p>
            <w:pPr>
              <w:spacing w:before="0" w:after="0" w:line="240" w:lineRule="auto"/>
              <w:jc w:val="center"/>
            </w:pPr>
            <w:r/>
            <w:r>
              <w:rPr>
                <w:rFonts w:ascii="Times New Roman" w:hAnsi="Times New Roman" w:eastAsia="Times New Roman"/>
                <w:b w:val="0"/>
                <w:i w:val="0"/>
                <w:sz w:val="16"/>
              </w:rPr>
              <w:t>2.131 (4,66%)</w:t>
            </w:r>
          </w:p>
        </w:tc>
      </w:tr>
      <w:tr>
        <w:tc>
          <w:tcPr>
            <w:tcW w:type="dxa" w:w="624"/>
            <w:tcMar>
              <w:top w:w="15" w:type="dxa"/>
              <w:bottom w:w="15" w:type="dxa"/>
            </w:tcMar>
          </w:tcPr>
          <w:p>
            <w:pPr>
              <w:spacing w:before="0" w:after="0" w:line="240" w:lineRule="auto"/>
              <w:jc w:val="left"/>
            </w:pPr>
            <w:r/>
            <w:r>
              <w:rPr>
                <w:rFonts w:ascii="Times New Roman" w:hAnsi="Times New Roman" w:eastAsia="Times New Roman"/>
                <w:b w:val="0"/>
                <w:i w:val="0"/>
                <w:sz w:val="16"/>
              </w:rPr>
              <w:t>2022</w:t>
            </w:r>
          </w:p>
        </w:tc>
        <w:tc>
          <w:tcPr>
            <w:tcW w:type="dxa" w:w="1020"/>
            <w:tcMar>
              <w:top w:w="15" w:type="dxa"/>
              <w:bottom w:w="15" w:type="dxa"/>
            </w:tcMar>
          </w:tcPr>
          <w:p>
            <w:pPr>
              <w:spacing w:before="0" w:after="0" w:line="240" w:lineRule="auto"/>
              <w:jc w:val="center"/>
            </w:pPr>
            <w:r/>
            <w:r>
              <w:rPr>
                <w:rFonts w:ascii="Times New Roman" w:hAnsi="Times New Roman" w:eastAsia="Times New Roman"/>
                <w:b w:val="0"/>
                <w:i w:val="0"/>
                <w:sz w:val="16"/>
              </w:rPr>
              <w:t>100,00</w:t>
            </w:r>
          </w:p>
        </w:tc>
        <w:tc>
          <w:tcPr>
            <w:tcW w:type="dxa" w:w="907"/>
            <w:tcMar>
              <w:top w:w="15" w:type="dxa"/>
              <w:bottom w:w="15" w:type="dxa"/>
            </w:tcMar>
          </w:tcPr>
          <w:p>
            <w:pPr>
              <w:spacing w:before="0" w:after="0" w:line="240" w:lineRule="auto"/>
              <w:jc w:val="center"/>
            </w:pPr>
            <w:r/>
            <w:r>
              <w:rPr>
                <w:rFonts w:ascii="Times New Roman" w:hAnsi="Times New Roman" w:eastAsia="Times New Roman"/>
                <w:b w:val="0"/>
                <w:i w:val="0"/>
                <w:sz w:val="16"/>
              </w:rPr>
              <w:t>98,46</w:t>
            </w:r>
          </w:p>
        </w:tc>
        <w:tc>
          <w:tcPr>
            <w:tcW w:type="dxa" w:w="1020"/>
            <w:tcMar>
              <w:top w:w="15" w:type="dxa"/>
              <w:bottom w:w="15" w:type="dxa"/>
            </w:tcMar>
          </w:tcPr>
          <w:p>
            <w:pPr>
              <w:spacing w:before="0" w:after="0" w:line="240" w:lineRule="auto"/>
              <w:jc w:val="center"/>
            </w:pPr>
            <w:r/>
            <w:r>
              <w:rPr>
                <w:rFonts w:ascii="Times New Roman" w:hAnsi="Times New Roman" w:eastAsia="Times New Roman"/>
                <w:b w:val="0"/>
                <w:i w:val="0"/>
                <w:sz w:val="16"/>
              </w:rPr>
              <w:t>97,52</w:t>
            </w:r>
          </w:p>
        </w:tc>
        <w:tc>
          <w:tcPr>
            <w:tcW w:type="dxa" w:w="850"/>
            <w:tcMar>
              <w:top w:w="15" w:type="dxa"/>
              <w:bottom w:w="15" w:type="dxa"/>
            </w:tcMar>
          </w:tcPr>
          <w:p>
            <w:pPr>
              <w:spacing w:before="0" w:after="0" w:line="240" w:lineRule="auto"/>
              <w:jc w:val="center"/>
            </w:pPr>
            <w:r/>
            <w:r>
              <w:rPr>
                <w:rFonts w:ascii="Times New Roman" w:hAnsi="Times New Roman" w:eastAsia="Times New Roman"/>
                <w:b w:val="0"/>
                <w:i w:val="0"/>
                <w:sz w:val="16"/>
              </w:rPr>
              <w:t>99,78</w:t>
            </w:r>
          </w:p>
        </w:tc>
        <w:tc>
          <w:tcPr>
            <w:tcW w:type="dxa" w:w="1020"/>
            <w:tcMar>
              <w:top w:w="15" w:type="dxa"/>
              <w:bottom w:w="15" w:type="dxa"/>
            </w:tcMar>
          </w:tcPr>
          <w:p>
            <w:pPr>
              <w:spacing w:before="0" w:after="0" w:line="240" w:lineRule="auto"/>
              <w:jc w:val="center"/>
            </w:pPr>
            <w:r/>
            <w:r>
              <w:rPr>
                <w:rFonts w:ascii="Times New Roman" w:hAnsi="Times New Roman" w:eastAsia="Times New Roman"/>
                <w:b w:val="0"/>
                <w:i w:val="0"/>
                <w:sz w:val="16"/>
              </w:rPr>
              <w:t>97,54</w:t>
            </w:r>
          </w:p>
        </w:tc>
        <w:tc>
          <w:tcPr>
            <w:tcW w:type="dxa" w:w="850"/>
            <w:tcMar>
              <w:top w:w="15" w:type="dxa"/>
              <w:bottom w:w="15" w:type="dxa"/>
            </w:tcMar>
          </w:tcPr>
          <w:p>
            <w:pPr>
              <w:spacing w:before="0" w:after="0" w:line="240" w:lineRule="auto"/>
              <w:jc w:val="center"/>
            </w:pPr>
            <w:r/>
            <w:r>
              <w:rPr>
                <w:rFonts w:ascii="Times New Roman" w:hAnsi="Times New Roman" w:eastAsia="Times New Roman"/>
                <w:b w:val="0"/>
                <w:i w:val="0"/>
                <w:sz w:val="16"/>
              </w:rPr>
              <w:t>100,00</w:t>
            </w:r>
          </w:p>
        </w:tc>
        <w:tc>
          <w:tcPr>
            <w:tcW w:type="dxa" w:w="907"/>
            <w:tcMar>
              <w:top w:w="15" w:type="dxa"/>
              <w:bottom w:w="15" w:type="dxa"/>
            </w:tcMar>
          </w:tcPr>
          <w:p>
            <w:pPr>
              <w:spacing w:before="0" w:after="0" w:line="240" w:lineRule="auto"/>
              <w:jc w:val="center"/>
            </w:pPr>
            <w:r/>
            <w:r>
              <w:rPr>
                <w:rFonts w:ascii="Times New Roman" w:hAnsi="Times New Roman" w:eastAsia="Times New Roman"/>
                <w:b w:val="0"/>
                <w:i w:val="0"/>
                <w:sz w:val="16"/>
              </w:rPr>
              <w:t>98,88</w:t>
            </w:r>
          </w:p>
        </w:tc>
        <w:tc>
          <w:tcPr>
            <w:tcW w:type="dxa" w:w="1474"/>
            <w:tcMar>
              <w:top w:w="15" w:type="dxa"/>
              <w:bottom w:w="15" w:type="dxa"/>
            </w:tcMar>
          </w:tcPr>
          <w:p>
            <w:pPr>
              <w:spacing w:before="0" w:after="0" w:line="240" w:lineRule="auto"/>
              <w:jc w:val="center"/>
            </w:pPr>
            <w:r/>
            <w:r>
              <w:rPr>
                <w:rFonts w:ascii="Times New Roman" w:hAnsi="Times New Roman" w:eastAsia="Times New Roman"/>
                <w:b w:val="0"/>
                <w:i w:val="0"/>
                <w:sz w:val="16"/>
              </w:rPr>
              <w:t>2.249 (5,12%)</w:t>
            </w:r>
          </w:p>
        </w:tc>
      </w:tr>
      <w:tr>
        <w:tc>
          <w:tcPr>
            <w:tcW w:type="dxa" w:w="624"/>
            <w:tcMar>
              <w:top w:w="15" w:type="dxa"/>
              <w:bottom w:w="15" w:type="dxa"/>
            </w:tcMar>
          </w:tcPr>
          <w:p>
            <w:pPr>
              <w:spacing w:before="0" w:after="0" w:line="240" w:lineRule="auto"/>
              <w:jc w:val="left"/>
            </w:pPr>
            <w:r/>
            <w:r>
              <w:rPr>
                <w:rFonts w:ascii="Times New Roman" w:hAnsi="Times New Roman" w:eastAsia="Times New Roman"/>
                <w:b w:val="0"/>
                <w:i w:val="0"/>
                <w:sz w:val="16"/>
              </w:rPr>
              <w:t>2023</w:t>
            </w:r>
          </w:p>
        </w:tc>
        <w:tc>
          <w:tcPr>
            <w:tcW w:type="dxa" w:w="1020"/>
            <w:tcMar>
              <w:top w:w="15" w:type="dxa"/>
              <w:bottom w:w="15" w:type="dxa"/>
            </w:tcMar>
          </w:tcPr>
          <w:p>
            <w:pPr>
              <w:spacing w:before="0" w:after="0" w:line="240" w:lineRule="auto"/>
              <w:jc w:val="center"/>
            </w:pPr>
            <w:r/>
            <w:r>
              <w:rPr>
                <w:rFonts w:ascii="Times New Roman" w:hAnsi="Times New Roman" w:eastAsia="Times New Roman"/>
                <w:b w:val="0"/>
                <w:i w:val="0"/>
                <w:sz w:val="16"/>
              </w:rPr>
              <w:t>100,00</w:t>
            </w:r>
          </w:p>
        </w:tc>
        <w:tc>
          <w:tcPr>
            <w:tcW w:type="dxa" w:w="907"/>
            <w:tcMar>
              <w:top w:w="15" w:type="dxa"/>
              <w:bottom w:w="15" w:type="dxa"/>
            </w:tcMar>
          </w:tcPr>
          <w:p>
            <w:pPr>
              <w:spacing w:before="0" w:after="0" w:line="240" w:lineRule="auto"/>
              <w:jc w:val="center"/>
            </w:pPr>
            <w:r/>
            <w:r>
              <w:rPr>
                <w:rFonts w:ascii="Times New Roman" w:hAnsi="Times New Roman" w:eastAsia="Times New Roman"/>
                <w:b w:val="0"/>
                <w:i w:val="0"/>
                <w:sz w:val="16"/>
              </w:rPr>
              <w:t>98,80</w:t>
            </w:r>
          </w:p>
        </w:tc>
        <w:tc>
          <w:tcPr>
            <w:tcW w:type="dxa" w:w="1020"/>
            <w:tcMar>
              <w:top w:w="15" w:type="dxa"/>
              <w:bottom w:w="15" w:type="dxa"/>
            </w:tcMar>
          </w:tcPr>
          <w:p>
            <w:pPr>
              <w:spacing w:before="0" w:after="0" w:line="240" w:lineRule="auto"/>
              <w:jc w:val="center"/>
            </w:pPr>
            <w:r/>
            <w:r>
              <w:rPr>
                <w:rFonts w:ascii="Times New Roman" w:hAnsi="Times New Roman" w:eastAsia="Times New Roman"/>
                <w:b w:val="0"/>
                <w:i w:val="0"/>
                <w:sz w:val="16"/>
              </w:rPr>
              <w:t>97,79</w:t>
            </w:r>
          </w:p>
        </w:tc>
        <w:tc>
          <w:tcPr>
            <w:tcW w:type="dxa" w:w="850"/>
            <w:tcMar>
              <w:top w:w="15" w:type="dxa"/>
              <w:bottom w:w="15" w:type="dxa"/>
            </w:tcMar>
          </w:tcPr>
          <w:p>
            <w:pPr>
              <w:spacing w:before="0" w:after="0" w:line="240" w:lineRule="auto"/>
              <w:jc w:val="center"/>
            </w:pPr>
            <w:r/>
            <w:r>
              <w:rPr>
                <w:rFonts w:ascii="Times New Roman" w:hAnsi="Times New Roman" w:eastAsia="Times New Roman"/>
                <w:b w:val="0"/>
                <w:i w:val="0"/>
                <w:sz w:val="16"/>
              </w:rPr>
              <w:t>100,00</w:t>
            </w:r>
          </w:p>
        </w:tc>
        <w:tc>
          <w:tcPr>
            <w:tcW w:type="dxa" w:w="1020"/>
            <w:tcMar>
              <w:top w:w="15" w:type="dxa"/>
              <w:bottom w:w="15" w:type="dxa"/>
            </w:tcMar>
          </w:tcPr>
          <w:p>
            <w:pPr>
              <w:spacing w:before="0" w:after="0" w:line="240" w:lineRule="auto"/>
              <w:jc w:val="center"/>
            </w:pPr>
            <w:r/>
            <w:r>
              <w:rPr>
                <w:rFonts w:ascii="Times New Roman" w:hAnsi="Times New Roman" w:eastAsia="Times New Roman"/>
                <w:b w:val="0"/>
                <w:i w:val="0"/>
                <w:sz w:val="16"/>
              </w:rPr>
              <w:t>97,52</w:t>
            </w:r>
          </w:p>
        </w:tc>
        <w:tc>
          <w:tcPr>
            <w:tcW w:type="dxa" w:w="850"/>
            <w:tcMar>
              <w:top w:w="15" w:type="dxa"/>
              <w:bottom w:w="15" w:type="dxa"/>
            </w:tcMar>
          </w:tcPr>
          <w:p>
            <w:pPr>
              <w:spacing w:before="0" w:after="0" w:line="240" w:lineRule="auto"/>
              <w:jc w:val="center"/>
            </w:pPr>
            <w:r/>
            <w:r>
              <w:rPr>
                <w:rFonts w:ascii="Times New Roman" w:hAnsi="Times New Roman" w:eastAsia="Times New Roman"/>
                <w:b w:val="0"/>
                <w:i w:val="0"/>
                <w:sz w:val="16"/>
              </w:rPr>
              <w:t>100,00</w:t>
            </w:r>
          </w:p>
        </w:tc>
        <w:tc>
          <w:tcPr>
            <w:tcW w:type="dxa" w:w="907"/>
            <w:tcMar>
              <w:top w:w="15" w:type="dxa"/>
              <w:bottom w:w="15" w:type="dxa"/>
            </w:tcMar>
          </w:tcPr>
          <w:p>
            <w:pPr>
              <w:spacing w:before="0" w:after="0" w:line="240" w:lineRule="auto"/>
              <w:jc w:val="center"/>
            </w:pPr>
            <w:r/>
            <w:r>
              <w:rPr>
                <w:rFonts w:ascii="Times New Roman" w:hAnsi="Times New Roman" w:eastAsia="Times New Roman"/>
                <w:b w:val="0"/>
                <w:i w:val="0"/>
                <w:sz w:val="16"/>
              </w:rPr>
              <w:t>99,02</w:t>
            </w:r>
          </w:p>
        </w:tc>
        <w:tc>
          <w:tcPr>
            <w:tcW w:type="dxa" w:w="1474"/>
            <w:tcMar>
              <w:top w:w="15" w:type="dxa"/>
              <w:bottom w:w="15" w:type="dxa"/>
            </w:tcMar>
          </w:tcPr>
          <w:p>
            <w:pPr>
              <w:spacing w:before="0" w:after="0" w:line="240" w:lineRule="auto"/>
              <w:jc w:val="center"/>
            </w:pPr>
            <w:r/>
            <w:r>
              <w:rPr>
                <w:rFonts w:ascii="Times New Roman" w:hAnsi="Times New Roman" w:eastAsia="Times New Roman"/>
                <w:b w:val="0"/>
                <w:i w:val="0"/>
                <w:sz w:val="16"/>
              </w:rPr>
              <w:t>2.450 (4,68%)</w:t>
            </w:r>
          </w:p>
        </w:tc>
      </w:tr>
      <w:tr>
        <w:tc>
          <w:tcPr>
            <w:tcW w:type="dxa" w:w="624"/>
            <w:tcMar>
              <w:top w:w="15" w:type="dxa"/>
              <w:bottom w:w="15" w:type="dxa"/>
            </w:tcMar>
          </w:tcPr>
          <w:p>
            <w:pPr>
              <w:spacing w:before="0" w:after="0" w:line="240" w:lineRule="auto"/>
              <w:jc w:val="left"/>
            </w:pPr>
            <w:r/>
            <w:r>
              <w:rPr>
                <w:rFonts w:ascii="Times New Roman" w:hAnsi="Times New Roman" w:eastAsia="Times New Roman"/>
                <w:b w:val="0"/>
                <w:i w:val="0"/>
                <w:sz w:val="16"/>
              </w:rPr>
              <w:t>2024</w:t>
            </w:r>
          </w:p>
        </w:tc>
        <w:tc>
          <w:tcPr>
            <w:tcW w:type="dxa" w:w="1020"/>
            <w:tcMar>
              <w:top w:w="15" w:type="dxa"/>
              <w:bottom w:w="15" w:type="dxa"/>
            </w:tcMar>
          </w:tcPr>
          <w:p>
            <w:pPr>
              <w:spacing w:before="0" w:after="0" w:line="240" w:lineRule="auto"/>
              <w:jc w:val="center"/>
            </w:pPr>
            <w:r/>
            <w:r>
              <w:rPr>
                <w:rFonts w:ascii="Times New Roman" w:hAnsi="Times New Roman" w:eastAsia="Times New Roman"/>
                <w:b w:val="0"/>
                <w:i w:val="0"/>
                <w:sz w:val="16"/>
              </w:rPr>
              <w:t>100,00</w:t>
            </w:r>
          </w:p>
        </w:tc>
        <w:tc>
          <w:tcPr>
            <w:tcW w:type="dxa" w:w="907"/>
            <w:tcMar>
              <w:top w:w="15" w:type="dxa"/>
              <w:bottom w:w="15" w:type="dxa"/>
            </w:tcMar>
          </w:tcPr>
          <w:p>
            <w:pPr>
              <w:spacing w:before="0" w:after="0" w:line="240" w:lineRule="auto"/>
              <w:jc w:val="center"/>
            </w:pPr>
            <w:r/>
            <w:r>
              <w:rPr>
                <w:rFonts w:ascii="Times New Roman" w:hAnsi="Times New Roman" w:eastAsia="Times New Roman"/>
                <w:b w:val="0"/>
                <w:i w:val="0"/>
                <w:sz w:val="16"/>
              </w:rPr>
              <w:t>98,89</w:t>
            </w:r>
          </w:p>
        </w:tc>
        <w:tc>
          <w:tcPr>
            <w:tcW w:type="dxa" w:w="1020"/>
            <w:tcMar>
              <w:top w:w="15" w:type="dxa"/>
              <w:bottom w:w="15" w:type="dxa"/>
            </w:tcMar>
          </w:tcPr>
          <w:p>
            <w:pPr>
              <w:spacing w:before="0" w:after="0" w:line="240" w:lineRule="auto"/>
              <w:jc w:val="center"/>
            </w:pPr>
            <w:r/>
            <w:r>
              <w:rPr>
                <w:rFonts w:ascii="Times New Roman" w:hAnsi="Times New Roman" w:eastAsia="Times New Roman"/>
                <w:b w:val="0"/>
                <w:i w:val="0"/>
                <w:sz w:val="16"/>
              </w:rPr>
              <w:t>95,99</w:t>
            </w:r>
          </w:p>
        </w:tc>
        <w:tc>
          <w:tcPr>
            <w:tcW w:type="dxa" w:w="850"/>
            <w:tcMar>
              <w:top w:w="15" w:type="dxa"/>
              <w:bottom w:w="15" w:type="dxa"/>
            </w:tcMar>
          </w:tcPr>
          <w:p>
            <w:pPr>
              <w:spacing w:before="0" w:after="0" w:line="240" w:lineRule="auto"/>
              <w:jc w:val="center"/>
            </w:pPr>
            <w:r/>
            <w:r>
              <w:rPr>
                <w:rFonts w:ascii="Times New Roman" w:hAnsi="Times New Roman" w:eastAsia="Times New Roman"/>
                <w:b w:val="0"/>
                <w:i w:val="0"/>
                <w:sz w:val="16"/>
              </w:rPr>
              <w:t>100,00</w:t>
            </w:r>
          </w:p>
        </w:tc>
        <w:tc>
          <w:tcPr>
            <w:tcW w:type="dxa" w:w="1020"/>
            <w:tcMar>
              <w:top w:w="15" w:type="dxa"/>
              <w:bottom w:w="15" w:type="dxa"/>
            </w:tcMar>
          </w:tcPr>
          <w:p>
            <w:pPr>
              <w:spacing w:before="0" w:after="0" w:line="240" w:lineRule="auto"/>
              <w:jc w:val="center"/>
            </w:pPr>
            <w:r/>
            <w:r>
              <w:rPr>
                <w:rFonts w:ascii="Times New Roman" w:hAnsi="Times New Roman" w:eastAsia="Times New Roman"/>
                <w:b w:val="0"/>
                <w:i w:val="0"/>
                <w:sz w:val="16"/>
              </w:rPr>
              <w:t>97,71</w:t>
            </w:r>
          </w:p>
        </w:tc>
        <w:tc>
          <w:tcPr>
            <w:tcW w:type="dxa" w:w="850"/>
            <w:tcMar>
              <w:top w:w="15" w:type="dxa"/>
              <w:bottom w:w="15" w:type="dxa"/>
            </w:tcMar>
          </w:tcPr>
          <w:p>
            <w:pPr>
              <w:spacing w:before="0" w:after="0" w:line="240" w:lineRule="auto"/>
              <w:jc w:val="center"/>
            </w:pPr>
            <w:r/>
            <w:r>
              <w:rPr>
                <w:rFonts w:ascii="Times New Roman" w:hAnsi="Times New Roman" w:eastAsia="Times New Roman"/>
                <w:b w:val="0"/>
                <w:i w:val="0"/>
                <w:sz w:val="16"/>
              </w:rPr>
              <w:t>100,00</w:t>
            </w:r>
          </w:p>
        </w:tc>
        <w:tc>
          <w:tcPr>
            <w:tcW w:type="dxa" w:w="907"/>
            <w:tcMar>
              <w:top w:w="15" w:type="dxa"/>
              <w:bottom w:w="15" w:type="dxa"/>
            </w:tcMar>
          </w:tcPr>
          <w:p>
            <w:pPr>
              <w:spacing w:before="0" w:after="0" w:line="240" w:lineRule="auto"/>
              <w:jc w:val="center"/>
            </w:pPr>
            <w:r/>
            <w:r>
              <w:rPr>
                <w:rFonts w:ascii="Times New Roman" w:hAnsi="Times New Roman" w:eastAsia="Times New Roman"/>
                <w:b w:val="0"/>
                <w:i w:val="0"/>
                <w:sz w:val="16"/>
              </w:rPr>
              <w:t>98,77</w:t>
            </w:r>
          </w:p>
        </w:tc>
        <w:tc>
          <w:tcPr>
            <w:tcW w:type="dxa" w:w="1474"/>
            <w:tcMar>
              <w:top w:w="15" w:type="dxa"/>
              <w:bottom w:w="15" w:type="dxa"/>
            </w:tcMar>
          </w:tcPr>
          <w:p>
            <w:pPr>
              <w:spacing w:before="0" w:after="0" w:line="240" w:lineRule="auto"/>
              <w:jc w:val="center"/>
            </w:pPr>
            <w:r/>
            <w:r>
              <w:rPr>
                <w:rFonts w:ascii="Times New Roman" w:hAnsi="Times New Roman" w:eastAsia="Times New Roman"/>
                <w:b w:val="0"/>
                <w:i w:val="0"/>
                <w:sz w:val="16"/>
              </w:rPr>
              <w:t>3.273 (6,30%)</w:t>
            </w:r>
          </w:p>
        </w:tc>
      </w:tr>
    </w:tbl>
    <w:p>
      <w:pPr>
        <w:spacing w:before="0" w:after="0" w:line="240" w:lineRule="auto"/>
        <w:jc w:val="both"/>
      </w:pPr>
    </w:p>
    <w:p>
      <w:pPr>
        <w:spacing w:before="0" w:after="0" w:line="240" w:lineRule="auto"/>
        <w:jc w:val="both"/>
      </w:pPr>
      <w:r>
        <w:rPr>
          <w:rFonts w:ascii="Times New Roman" w:hAnsi="Times New Roman" w:eastAsia="Times New Roman"/>
          <w:b w:val="0"/>
          <w:i w:val="0"/>
          <w:sz w:val="20"/>
        </w:rPr>
        <w:t>Tabel 4 memperlihatkan indeks kualitas data yang tinggi (98,77–99,02%), tetapi dimensi konsistensi 2024 adalah yang terendah (95,99%). Angka agregat yang tinggi dapat menyamarkan kesalahan bernilai besar; karena itu deteksi tingkat transaksi tetap diperlukan.</w:t>
      </w:r>
    </w:p>
    <w:p>
      <w:pPr>
        <w:keepNext/>
        <w:spacing w:before="80" w:after="40" w:line="240" w:lineRule="auto"/>
        <w:jc w:val="left"/>
      </w:pPr>
      <w:r>
        <w:rPr>
          <w:rFonts w:ascii="Times New Roman" w:hAnsi="Times New Roman" w:eastAsia="Times New Roman"/>
          <w:b/>
          <w:i w:val="0"/>
          <w:sz w:val="20"/>
        </w:rPr>
        <w:t>3.2 Kinerja detektor pada anomali injeksi</w:t>
      </w:r>
    </w:p>
    <w:p>
      <w:pPr>
        <w:keepNext/>
        <w:spacing w:before="80" w:after="0" w:line="240" w:lineRule="auto"/>
        <w:jc w:val="center"/>
      </w:pPr>
      <w:r>
        <w:rPr>
          <w:rFonts w:ascii="Times New Roman" w:hAnsi="Times New Roman" w:eastAsia="Times New Roman"/>
          <w:b w:val="0"/>
          <w:i w:val="0"/>
          <w:sz w:val="16"/>
        </w:rPr>
        <w:t>Tabel 5: Komparasi kinerja detektor (rerata ± simpangan baku, 10 ulangan, uji 2024)</w:t>
      </w:r>
    </w:p>
    <w:tbl>
      <w:tblPr>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W w:w="9072" w:type="dxa"/>
        <w:tblLayout w:type="fixed"/>
      </w:tblPr>
      <w:tblGrid>
        <w:gridCol w:w="1530"/>
        <w:gridCol w:w="1311"/>
        <w:gridCol w:w="1311"/>
        <w:gridCol w:w="1311"/>
        <w:gridCol w:w="1311"/>
        <w:gridCol w:w="1311"/>
        <w:gridCol w:w="983"/>
      </w:tblGrid>
      <w:tr>
        <w:tc>
          <w:tcPr>
            <w:tcW w:type="dxa" w:w="1530"/>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Metode</w:t>
            </w:r>
          </w:p>
        </w:tc>
        <w:tc>
          <w:tcPr>
            <w:tcW w:type="dxa" w:w="1311"/>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ROC-AUC</w:t>
            </w:r>
          </w:p>
        </w:tc>
        <w:tc>
          <w:tcPr>
            <w:tcW w:type="dxa" w:w="1311"/>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PR-AUC</w:t>
            </w:r>
          </w:p>
        </w:tc>
        <w:tc>
          <w:tcPr>
            <w:tcW w:type="dxa" w:w="1311"/>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P@k</w:t>
            </w:r>
          </w:p>
        </w:tc>
        <w:tc>
          <w:tcPr>
            <w:tcW w:type="dxa" w:w="1311"/>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Recall@5%</w:t>
            </w:r>
          </w:p>
        </w:tc>
        <w:tc>
          <w:tcPr>
            <w:tcW w:type="dxa" w:w="1311"/>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F1</w:t>
            </w:r>
          </w:p>
        </w:tc>
        <w:tc>
          <w:tcPr>
            <w:tcW w:type="dxa" w:w="984"/>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FPR normal</w:t>
            </w:r>
          </w:p>
        </w:tc>
      </w:tr>
      <w:tr>
        <w:tc>
          <w:tcPr>
            <w:tcW w:type="dxa" w:w="1530"/>
            <w:tcMar>
              <w:top w:w="15" w:type="dxa"/>
              <w:bottom w:w="15" w:type="dxa"/>
            </w:tcMar>
          </w:tcPr>
          <w:p>
            <w:pPr>
              <w:spacing w:before="0" w:after="0" w:line="240" w:lineRule="auto"/>
              <w:jc w:val="left"/>
            </w:pPr>
            <w:r/>
            <w:r>
              <w:rPr>
                <w:rFonts w:ascii="Times New Roman" w:hAnsi="Times New Roman" w:eastAsia="Times New Roman"/>
                <w:b w:val="0"/>
                <w:i w:val="0"/>
                <w:sz w:val="16"/>
              </w:rPr>
              <w:t>Aturan</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0,905 ± 0,003</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0,817 ± 0,006</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0,810 ± 0,006</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0,812 ± 0,007</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0,895 ± 0,004</w:t>
            </w:r>
          </w:p>
        </w:tc>
        <w:tc>
          <w:tcPr>
            <w:tcW w:type="dxa" w:w="984"/>
            <w:tcMar>
              <w:top w:w="15" w:type="dxa"/>
              <w:bottom w:w="15" w:type="dxa"/>
            </w:tcMar>
          </w:tcPr>
          <w:p>
            <w:pPr>
              <w:spacing w:before="0" w:after="0" w:line="240" w:lineRule="auto"/>
              <w:jc w:val="center"/>
            </w:pPr>
            <w:r/>
            <w:r>
              <w:rPr>
                <w:rFonts w:ascii="Times New Roman" w:hAnsi="Times New Roman" w:eastAsia="Times New Roman"/>
                <w:b w:val="0"/>
                <w:i w:val="0"/>
                <w:sz w:val="16"/>
              </w:rPr>
              <w:t>0,000%</w:t>
            </w:r>
          </w:p>
        </w:tc>
      </w:tr>
      <w:tr>
        <w:tc>
          <w:tcPr>
            <w:tcW w:type="dxa" w:w="1530"/>
            <w:tcMar>
              <w:top w:w="15" w:type="dxa"/>
              <w:bottom w:w="15" w:type="dxa"/>
            </w:tcMar>
          </w:tcPr>
          <w:p>
            <w:pPr>
              <w:spacing w:before="0" w:after="0" w:line="240" w:lineRule="auto"/>
              <w:jc w:val="left"/>
            </w:pPr>
            <w:r/>
            <w:r>
              <w:rPr>
                <w:rFonts w:ascii="Times New Roman" w:hAnsi="Times New Roman" w:eastAsia="Times New Roman"/>
                <w:b w:val="0"/>
                <w:i w:val="0"/>
                <w:sz w:val="16"/>
              </w:rPr>
              <w:t>IF</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0,872 ± 0,005</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0,178 ± 0,005</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0,210 ± 0,012</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0,256 ± 0,009</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0,149 ± 0,013</w:t>
            </w:r>
          </w:p>
        </w:tc>
        <w:tc>
          <w:tcPr>
            <w:tcW w:type="dxa" w:w="984"/>
            <w:tcMar>
              <w:top w:w="15" w:type="dxa"/>
              <w:bottom w:w="15" w:type="dxa"/>
            </w:tcMar>
          </w:tcPr>
          <w:p>
            <w:pPr>
              <w:spacing w:before="0" w:after="0" w:line="240" w:lineRule="auto"/>
              <w:jc w:val="center"/>
            </w:pPr>
            <w:r/>
            <w:r>
              <w:rPr>
                <w:rFonts w:ascii="Times New Roman" w:hAnsi="Times New Roman" w:eastAsia="Times New Roman"/>
                <w:b w:val="0"/>
                <w:i w:val="0"/>
                <w:sz w:val="16"/>
              </w:rPr>
              <w:t>1,105%</w:t>
            </w:r>
          </w:p>
        </w:tc>
      </w:tr>
      <w:tr>
        <w:tc>
          <w:tcPr>
            <w:tcW w:type="dxa" w:w="1530"/>
            <w:tcMar>
              <w:top w:w="15" w:type="dxa"/>
              <w:bottom w:w="15" w:type="dxa"/>
            </w:tcMar>
          </w:tcPr>
          <w:p>
            <w:pPr>
              <w:spacing w:before="0" w:after="0" w:line="240" w:lineRule="auto"/>
              <w:jc w:val="left"/>
            </w:pPr>
            <w:r/>
            <w:r>
              <w:rPr>
                <w:rFonts w:ascii="Times New Roman" w:hAnsi="Times New Roman" w:eastAsia="Times New Roman"/>
                <w:b w:val="0"/>
                <w:i w:val="0"/>
                <w:sz w:val="16"/>
              </w:rPr>
              <w:t>LOF</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0,830 ± 0,017</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0,133 ± 0,013</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0,034 ± 0,007</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0,035 ± 0,006</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0,045 ± 0,011</w:t>
            </w:r>
          </w:p>
        </w:tc>
        <w:tc>
          <w:tcPr>
            <w:tcW w:type="dxa" w:w="984"/>
            <w:tcMar>
              <w:top w:w="15" w:type="dxa"/>
              <w:bottom w:w="15" w:type="dxa"/>
            </w:tcMar>
          </w:tcPr>
          <w:p>
            <w:pPr>
              <w:spacing w:before="0" w:after="0" w:line="240" w:lineRule="auto"/>
              <w:jc w:val="center"/>
            </w:pPr>
            <w:r/>
            <w:r>
              <w:rPr>
                <w:rFonts w:ascii="Times New Roman" w:hAnsi="Times New Roman" w:eastAsia="Times New Roman"/>
                <w:b w:val="0"/>
                <w:i w:val="0"/>
                <w:sz w:val="16"/>
              </w:rPr>
              <w:t>1,555%</w:t>
            </w:r>
          </w:p>
        </w:tc>
      </w:tr>
      <w:tr>
        <w:tc>
          <w:tcPr>
            <w:tcW w:type="dxa" w:w="1530"/>
            <w:tcMar>
              <w:top w:w="15" w:type="dxa"/>
              <w:bottom w:w="15" w:type="dxa"/>
            </w:tcMar>
          </w:tcPr>
          <w:p>
            <w:pPr>
              <w:spacing w:before="0" w:after="0" w:line="240" w:lineRule="auto"/>
              <w:jc w:val="left"/>
            </w:pPr>
            <w:r/>
            <w:r>
              <w:rPr>
                <w:rFonts w:ascii="Times New Roman" w:hAnsi="Times New Roman" w:eastAsia="Times New Roman"/>
                <w:b w:val="0"/>
                <w:i w:val="0"/>
                <w:sz w:val="16"/>
              </w:rPr>
              <w:t>AE</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0,986 ± 0,003</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0,862 ± 0,025</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0,783 ± 0,042</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0,836 ± 0,030</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0,785 ± 0,043</w:t>
            </w:r>
          </w:p>
        </w:tc>
        <w:tc>
          <w:tcPr>
            <w:tcW w:type="dxa" w:w="984"/>
            <w:tcMar>
              <w:top w:w="15" w:type="dxa"/>
              <w:bottom w:w="15" w:type="dxa"/>
            </w:tcMar>
          </w:tcPr>
          <w:p>
            <w:pPr>
              <w:spacing w:before="0" w:after="0" w:line="240" w:lineRule="auto"/>
              <w:jc w:val="center"/>
            </w:pPr>
            <w:r/>
            <w:r>
              <w:rPr>
                <w:rFonts w:ascii="Times New Roman" w:hAnsi="Times New Roman" w:eastAsia="Times New Roman"/>
                <w:b w:val="0"/>
                <w:i w:val="0"/>
                <w:sz w:val="16"/>
              </w:rPr>
              <w:t>0,655%</w:t>
            </w:r>
          </w:p>
        </w:tc>
      </w:tr>
      <w:tr>
        <w:tc>
          <w:tcPr>
            <w:tcW w:type="dxa" w:w="1530"/>
            <w:tcMar>
              <w:top w:w="15" w:type="dxa"/>
              <w:bottom w:w="15" w:type="dxa"/>
            </w:tcMar>
          </w:tcPr>
          <w:p>
            <w:pPr>
              <w:spacing w:before="0" w:after="0" w:line="240" w:lineRule="auto"/>
              <w:jc w:val="left"/>
            </w:pPr>
            <w:r/>
            <w:r>
              <w:rPr>
                <w:rFonts w:ascii="Times New Roman" w:hAnsi="Times New Roman" w:eastAsia="Times New Roman"/>
                <w:b w:val="0"/>
                <w:i w:val="0"/>
                <w:sz w:val="16"/>
              </w:rPr>
              <w:t>Ensemble ML</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0,966 ± 0,006</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0,748 ± 0,037</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0,706 ± 0,032</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0,756 ± 0,036</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0,697 ± 0,034</w:t>
            </w:r>
          </w:p>
        </w:tc>
        <w:tc>
          <w:tcPr>
            <w:tcW w:type="dxa" w:w="984"/>
            <w:tcMar>
              <w:top w:w="15" w:type="dxa"/>
              <w:bottom w:w="15" w:type="dxa"/>
            </w:tcMar>
          </w:tcPr>
          <w:p>
            <w:pPr>
              <w:spacing w:before="0" w:after="0" w:line="240" w:lineRule="auto"/>
              <w:jc w:val="center"/>
            </w:pPr>
            <w:r/>
            <w:r>
              <w:rPr>
                <w:rFonts w:ascii="Times New Roman" w:hAnsi="Times New Roman" w:eastAsia="Times New Roman"/>
                <w:b w:val="0"/>
                <w:i w:val="0"/>
                <w:sz w:val="16"/>
              </w:rPr>
              <w:t>1,515%</w:t>
            </w:r>
          </w:p>
        </w:tc>
      </w:tr>
      <w:tr>
        <w:tc>
          <w:tcPr>
            <w:tcW w:type="dxa" w:w="1530"/>
            <w:tcMar>
              <w:top w:w="15" w:type="dxa"/>
              <w:bottom w:w="15" w:type="dxa"/>
            </w:tcMar>
          </w:tcPr>
          <w:p>
            <w:pPr>
              <w:spacing w:before="0" w:after="0" w:line="240" w:lineRule="auto"/>
              <w:jc w:val="left"/>
            </w:pPr>
            <w:r/>
            <w:r>
              <w:rPr>
                <w:rFonts w:ascii="Times New Roman" w:hAnsi="Times New Roman" w:eastAsia="Times New Roman"/>
                <w:b/>
                <w:i w:val="0"/>
                <w:sz w:val="16"/>
              </w:rPr>
              <w:t>Hibrida (usulan)</w:t>
            </w:r>
          </w:p>
        </w:tc>
        <w:tc>
          <w:tcPr>
            <w:tcW w:type="dxa" w:w="1311"/>
            <w:tcMar>
              <w:top w:w="15" w:type="dxa"/>
              <w:bottom w:w="15" w:type="dxa"/>
            </w:tcMar>
          </w:tcPr>
          <w:p>
            <w:pPr>
              <w:spacing w:before="0" w:after="0" w:line="240" w:lineRule="auto"/>
              <w:jc w:val="center"/>
            </w:pPr>
            <w:r/>
            <w:r>
              <w:rPr>
                <w:rFonts w:ascii="Times New Roman" w:hAnsi="Times New Roman" w:eastAsia="Times New Roman"/>
                <w:b/>
                <w:i w:val="0"/>
                <w:sz w:val="16"/>
              </w:rPr>
              <w:t>0,996 ± 0,001</w:t>
            </w:r>
          </w:p>
        </w:tc>
        <w:tc>
          <w:tcPr>
            <w:tcW w:type="dxa" w:w="1311"/>
            <w:tcMar>
              <w:top w:w="15" w:type="dxa"/>
              <w:bottom w:w="15" w:type="dxa"/>
            </w:tcMar>
          </w:tcPr>
          <w:p>
            <w:pPr>
              <w:spacing w:before="0" w:after="0" w:line="240" w:lineRule="auto"/>
              <w:jc w:val="center"/>
            </w:pPr>
            <w:r/>
            <w:r>
              <w:rPr>
                <w:rFonts w:ascii="Times New Roman" w:hAnsi="Times New Roman" w:eastAsia="Times New Roman"/>
                <w:b/>
                <w:i w:val="0"/>
                <w:sz w:val="16"/>
              </w:rPr>
              <w:t>0,973 ± 0,006</w:t>
            </w:r>
          </w:p>
        </w:tc>
        <w:tc>
          <w:tcPr>
            <w:tcW w:type="dxa" w:w="1311"/>
            <w:tcMar>
              <w:top w:w="15" w:type="dxa"/>
              <w:bottom w:w="15" w:type="dxa"/>
            </w:tcMar>
          </w:tcPr>
          <w:p>
            <w:pPr>
              <w:spacing w:before="0" w:after="0" w:line="240" w:lineRule="auto"/>
              <w:jc w:val="center"/>
            </w:pPr>
            <w:r/>
            <w:r>
              <w:rPr>
                <w:rFonts w:ascii="Times New Roman" w:hAnsi="Times New Roman" w:eastAsia="Times New Roman"/>
                <w:b/>
                <w:i w:val="0"/>
                <w:sz w:val="16"/>
              </w:rPr>
              <w:t>0,926 ± 0,009</w:t>
            </w:r>
          </w:p>
        </w:tc>
        <w:tc>
          <w:tcPr>
            <w:tcW w:type="dxa" w:w="1311"/>
            <w:tcMar>
              <w:top w:w="15" w:type="dxa"/>
              <w:bottom w:w="15" w:type="dxa"/>
            </w:tcMar>
          </w:tcPr>
          <w:p>
            <w:pPr>
              <w:spacing w:before="0" w:after="0" w:line="240" w:lineRule="auto"/>
              <w:jc w:val="center"/>
            </w:pPr>
            <w:r/>
            <w:r>
              <w:rPr>
                <w:rFonts w:ascii="Times New Roman" w:hAnsi="Times New Roman" w:eastAsia="Times New Roman"/>
                <w:b/>
                <w:i w:val="0"/>
                <w:sz w:val="16"/>
              </w:rPr>
              <w:t>0,968 ± 0,009</w:t>
            </w:r>
          </w:p>
        </w:tc>
        <w:tc>
          <w:tcPr>
            <w:tcW w:type="dxa" w:w="1311"/>
            <w:tcMar>
              <w:top w:w="15" w:type="dxa"/>
              <w:bottom w:w="15" w:type="dxa"/>
            </w:tcMar>
          </w:tcPr>
          <w:p>
            <w:pPr>
              <w:spacing w:before="0" w:after="0" w:line="240" w:lineRule="auto"/>
              <w:jc w:val="center"/>
            </w:pPr>
            <w:r/>
            <w:r>
              <w:rPr>
                <w:rFonts w:ascii="Times New Roman" w:hAnsi="Times New Roman" w:eastAsia="Times New Roman"/>
                <w:b/>
                <w:i w:val="0"/>
                <w:sz w:val="16"/>
              </w:rPr>
              <w:t>0,839 ± 0,025</w:t>
            </w:r>
          </w:p>
        </w:tc>
        <w:tc>
          <w:tcPr>
            <w:tcW w:type="dxa" w:w="984"/>
            <w:tcMar>
              <w:top w:w="15" w:type="dxa"/>
              <w:bottom w:w="15" w:type="dxa"/>
            </w:tcMar>
          </w:tcPr>
          <w:p>
            <w:pPr>
              <w:spacing w:before="0" w:after="0" w:line="240" w:lineRule="auto"/>
              <w:jc w:val="center"/>
            </w:pPr>
            <w:r/>
            <w:r>
              <w:rPr>
                <w:rFonts w:ascii="Times New Roman" w:hAnsi="Times New Roman" w:eastAsia="Times New Roman"/>
                <w:b/>
                <w:i w:val="0"/>
                <w:sz w:val="16"/>
              </w:rPr>
              <w:t>1,515%</w:t>
            </w:r>
          </w:p>
        </w:tc>
      </w:tr>
    </w:tbl>
    <w:p>
      <w:pPr>
        <w:spacing w:before="0" w:after="0" w:line="240" w:lineRule="auto"/>
        <w:jc w:val="both"/>
      </w:pPr>
    </w:p>
    <w:p>
      <w:pPr>
        <w:spacing w:before="0" w:after="0" w:line="240" w:lineRule="auto"/>
        <w:jc w:val="both"/>
      </w:pPr>
      <w:r>
        <w:rPr>
          <w:rFonts w:ascii="Times New Roman" w:hAnsi="Times New Roman" w:eastAsia="Times New Roman"/>
          <w:b w:val="0"/>
          <w:i w:val="0"/>
          <w:sz w:val="20"/>
        </w:rPr>
        <w:t>Tabel 5 dan Gambar 5 (kurva ROC dan precision–recall disajikan pada materi suplemen) menunjukkan bahwa detektor hibrida unggul pada hampir semua metrik: PR-AUC 0,973 ± 0,006, ROC-AUC 0,996, P@k 0,926, dan Recall@5% 0,968. Aturan saja memiliki presisi sempurna (1,000) tetapi hanya menangkap 0,809 anomali, sedangkan autoencoder menjadi detektor tunggal terbaik (PR-AUC 0,862). Isolation Forest (PR-AUC 0,178) dan LOF (0,133) lemah karena anomali pada data ini bersifat kontekstual—nilai yang wajar secara marginal tetapi tidak wajar terhadap kode atau jenis kendaraan—sehingga sulit diisolasi oleh partisi acak atau kerapatan lokal pada ruang campuran fitur kontinu–diskret [17,18]. Uji Friedman signifikan (χ² = 50,0, p = 1,4 × 10</w:t>
      </w:r>
      <w:r>
        <w:rPr>
          <w:rFonts w:ascii="Times New Roman" w:hAnsi="Times New Roman" w:eastAsia="Times New Roman"/>
          <w:b w:val="0"/>
          <w:i w:val="0"/>
          <w:sz w:val="20"/>
          <w:vertAlign w:val="superscript"/>
        </w:rPr>
        <w:t>-9</w:t>
      </w:r>
      <w:r>
        <w:rPr>
          <w:rFonts w:ascii="Times New Roman" w:hAnsi="Times New Roman" w:eastAsia="Times New Roman"/>
          <w:b w:val="0"/>
          <w:i w:val="0"/>
          <w:sz w:val="20"/>
        </w:rPr>
        <w:t>), dan hibrida mengungguli setiap pembanding pada 10 dari 10 ulangan (Wilcoxon-Holm p = 0,0098). F1 hibrida (0,839) sedikit di bawah aturan (0,895) karena ambang P99 menambah positif palsu (0,742 presisi); pada praktik audit, metrik berbasis anggaran (P@k, Recall@5%) lebih relevan.</w:t>
      </w:r>
    </w:p>
    <w:p>
      <w:pPr>
        <w:keepNext/>
        <w:spacing w:before="80" w:after="0" w:line="240" w:lineRule="auto"/>
        <w:jc w:val="center"/>
      </w:pPr>
      <w:r>
        <w:drawing>
          <wp:inline xmlns:a="http://schemas.openxmlformats.org/drawingml/2006/main" xmlns:pic="http://schemas.openxmlformats.org/drawingml/2006/picture">
            <wp:extent cx="5220000" cy="2846003"/>
            <wp:docPr id="5" name="Picture 5"/>
            <wp:cNvGraphicFramePr>
              <a:graphicFrameLocks noChangeAspect="1"/>
            </wp:cNvGraphicFramePr>
            <a:graphic>
              <a:graphicData uri="http://schemas.openxmlformats.org/drawingml/2006/picture">
                <pic:pic>
                  <pic:nvPicPr>
                    <pic:cNvPr id="0" name="F09_komparasi_metrik.png"/>
                    <pic:cNvPicPr/>
                  </pic:nvPicPr>
                  <pic:blipFill>
                    <a:blip r:embed="rId17"/>
                    <a:stretch>
                      <a:fillRect/>
                    </a:stretch>
                  </pic:blipFill>
                  <pic:spPr>
                    <a:xfrm>
                      <a:off x="0" y="0"/>
                      <a:ext cx="5220000" cy="2846003"/>
                    </a:xfrm>
                    <a:prstGeom prst="rect"/>
                  </pic:spPr>
                </pic:pic>
              </a:graphicData>
            </a:graphic>
          </wp:inline>
        </w:drawing>
      </w:r>
    </w:p>
    <w:p>
      <w:pPr>
        <w:spacing w:before="0" w:after="80" w:line="240" w:lineRule="auto"/>
        <w:jc w:val="center"/>
      </w:pPr>
      <w:r>
        <w:rPr>
          <w:rFonts w:ascii="Times New Roman" w:hAnsi="Times New Roman" w:eastAsia="Times New Roman"/>
          <w:b w:val="0"/>
          <w:i w:val="0"/>
          <w:sz w:val="18"/>
        </w:rPr>
        <w:t>Gambar 5: Komparasi PR-AUC, P@k, dan F1 antardetektor (rerata ± sd, 10 ulangan)</w:t>
      </w:r>
    </w:p>
    <w:p>
      <w:pPr>
        <w:keepNext/>
        <w:spacing w:before="80" w:after="40" w:line="240" w:lineRule="auto"/>
        <w:jc w:val="left"/>
      </w:pPr>
      <w:r>
        <w:rPr>
          <w:rFonts w:ascii="Times New Roman" w:hAnsi="Times New Roman" w:eastAsia="Times New Roman"/>
          <w:b/>
          <w:i w:val="0"/>
          <w:sz w:val="20"/>
        </w:rPr>
        <w:t>3.3 Analisis per tipe anomali, ablasi, dan sensitivitas</w:t>
      </w:r>
    </w:p>
    <w:p>
      <w:pPr>
        <w:spacing w:before="0" w:after="0" w:line="240" w:lineRule="auto"/>
        <w:jc w:val="both"/>
      </w:pPr>
      <w:r>
        <w:rPr>
          <w:rFonts w:ascii="Times New Roman" w:hAnsi="Times New Roman" w:eastAsia="Times New Roman"/>
          <w:b w:val="0"/>
          <w:i w:val="0"/>
          <w:sz w:val="20"/>
        </w:rPr>
        <w:t>Gambar 6 menunjukkan sifat saling melengkapi kedua lapis. Aturan menangkap A1, A2, A3, A4, dan A5 hampir sempurna, tetapi gagal pada A8 (BBNKB janggal; recall 0,01) yang tidak memiliki aturan. Autoencoder justru menangkap A8 (0,99), A7 (1,00), dan A6 (0,90), tetapi lemah pada kode jenis kendaraan tertukar (A5, 0,33). Hibrida mempertahankan kekuatan keduanya: A8 naik dari 0,01 (aturan) menjadi 0,83, sementara A1–A5 tetap ≥ 0,94. Temuan ini sejalan dengan rekomendasi audit berbasis data bahwa aturan dan deteksi tak terawasi seharusnya dipadukan, bukan dipertentangkan [21,23].</w:t>
      </w:r>
    </w:p>
    <w:p>
      <w:pPr>
        <w:keepNext/>
        <w:spacing w:before="80" w:after="0" w:line="240" w:lineRule="auto"/>
        <w:jc w:val="center"/>
      </w:pPr>
      <w:r>
        <w:drawing>
          <wp:inline xmlns:a="http://schemas.openxmlformats.org/drawingml/2006/main" xmlns:pic="http://schemas.openxmlformats.org/drawingml/2006/picture">
            <wp:extent cx="5040000" cy="2056563"/>
            <wp:docPr id="6" name="Picture 6"/>
            <wp:cNvGraphicFramePr>
              <a:graphicFrameLocks noChangeAspect="1"/>
            </wp:cNvGraphicFramePr>
            <a:graphic>
              <a:graphicData uri="http://schemas.openxmlformats.org/drawingml/2006/picture">
                <pic:pic>
                  <pic:nvPicPr>
                    <pic:cNvPr id="0" name="F08_recall_per_tipe.png"/>
                    <pic:cNvPicPr/>
                  </pic:nvPicPr>
                  <pic:blipFill>
                    <a:blip r:embed="rId18"/>
                    <a:stretch>
                      <a:fillRect/>
                    </a:stretch>
                  </pic:blipFill>
                  <pic:spPr>
                    <a:xfrm>
                      <a:off x="0" y="0"/>
                      <a:ext cx="5040000" cy="2056563"/>
                    </a:xfrm>
                    <a:prstGeom prst="rect"/>
                  </pic:spPr>
                </pic:pic>
              </a:graphicData>
            </a:graphic>
          </wp:inline>
        </w:drawing>
      </w:r>
    </w:p>
    <w:p>
      <w:pPr>
        <w:spacing w:before="0" w:after="80" w:line="240" w:lineRule="auto"/>
        <w:jc w:val="center"/>
      </w:pPr>
      <w:r>
        <w:rPr>
          <w:rFonts w:ascii="Times New Roman" w:hAnsi="Times New Roman" w:eastAsia="Times New Roman"/>
          <w:b w:val="0"/>
          <w:i w:val="0"/>
          <w:sz w:val="18"/>
        </w:rPr>
        <w:t>Gambar 6: Recall@k per tipe anomali dan per detektor (rerata 10 ulangan)</w:t>
      </w:r>
    </w:p>
    <w:p>
      <w:pPr>
        <w:spacing w:before="0" w:after="0" w:line="240" w:lineRule="auto"/>
        <w:jc w:val="both"/>
      </w:pPr>
      <w:r>
        <w:rPr>
          <w:rFonts w:ascii="Times New Roman" w:hAnsi="Times New Roman" w:eastAsia="Times New Roman"/>
          <w:b w:val="0"/>
          <w:i w:val="0"/>
          <w:sz w:val="20"/>
        </w:rPr>
        <w:t xml:space="preserve">Ablasi (Gambar S1 pada materi suplemen) menunjukkan bahwa fitur domain menaikkan PR-AUC autoencoder dari 0,682 menjadi 0,872, ensemble dari 0,541 menjadi 0,762, dan hibrida dari 0,916 menjadi 0,972; hanya LOF yang menurun (0,223 → 0,140) karena penambahan dimensi memperburuk estimasi kerapatan. Pada analisis sensitivitas, fusi maksimum persentil memberi PR-AUC ensemble 0,789 dibanding 0,556 untuk fusi rerata, karena rerata meredam sinyal autoencoder oleh IF dan LOF yang lemah. Arsitektur AE yang lebih lebar (64–16–64) meningkatkan PR-AUC AE menjadi 0,952, sedangkan PR-AUC hibrida stabil pada 0,948–0,989 untuk seluruh variasi parameter. Waktu latih rata-rata pada CPU dua inti adalah 0,62 detik (IF), 0,77 detik (LOF), dan 5,69 detik (AE) untuk 40.000 transaksi, dan skoring 20.800 transaksi &lt; 1 detik, sehingga layak dijalankan sebagai </w:t>
      </w:r>
      <w:r>
        <w:rPr>
          <w:rFonts w:ascii="Times New Roman" w:hAnsi="Times New Roman" w:eastAsia="Times New Roman"/>
          <w:b w:val="0"/>
          <w:i/>
          <w:sz w:val="20"/>
        </w:rPr>
        <w:t>batch</w:t>
      </w:r>
      <w:r>
        <w:rPr>
          <w:rFonts w:ascii="Times New Roman" w:hAnsi="Times New Roman" w:eastAsia="Times New Roman"/>
          <w:b w:val="0"/>
          <w:i w:val="0"/>
          <w:sz w:val="20"/>
        </w:rPr>
        <w:t xml:space="preserve"> harian.</w:t>
      </w:r>
    </w:p>
    <w:p>
      <w:pPr>
        <w:keepNext/>
        <w:spacing w:before="80" w:after="40" w:line="240" w:lineRule="auto"/>
        <w:jc w:val="left"/>
      </w:pPr>
      <w:r>
        <w:rPr>
          <w:rFonts w:ascii="Times New Roman" w:hAnsi="Times New Roman" w:eastAsia="Times New Roman"/>
          <w:b/>
          <w:i w:val="0"/>
          <w:sz w:val="20"/>
        </w:rPr>
        <w:t>3.4 Penerapan pada data riil 2021–2024</w:t>
      </w:r>
    </w:p>
    <w:p>
      <w:pPr>
        <w:keepNext/>
        <w:spacing w:before="80" w:after="0" w:line="240" w:lineRule="auto"/>
        <w:jc w:val="center"/>
      </w:pPr>
      <w:r>
        <w:rPr>
          <w:rFonts w:ascii="Times New Roman" w:hAnsi="Times New Roman" w:eastAsia="Times New Roman"/>
          <w:b w:val="0"/>
          <w:i w:val="0"/>
          <w:sz w:val="16"/>
        </w:rPr>
        <w:t>Tabel 6: Hasil penerapan detektor hibrida pada data riil per tahun</w:t>
      </w:r>
    </w:p>
    <w:tbl>
      <w:tblPr>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W w:w="8675" w:type="dxa"/>
        <w:tblLayout w:type="fixed"/>
      </w:tblPr>
      <w:tblGrid>
        <w:gridCol w:w="680"/>
        <w:gridCol w:w="1077"/>
        <w:gridCol w:w="1134"/>
        <w:gridCol w:w="1077"/>
        <w:gridCol w:w="907"/>
        <w:gridCol w:w="1360"/>
        <w:gridCol w:w="1360"/>
        <w:gridCol w:w="1077"/>
      </w:tblGrid>
      <w:tr>
        <w:tc>
          <w:tcPr>
            <w:tcW w:type="dxa" w:w="680"/>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Tahun</w:t>
            </w:r>
          </w:p>
        </w:tc>
        <w:tc>
          <w:tcPr>
            <w:tcW w:type="dxa" w:w="1077"/>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Transaksi</w:t>
            </w:r>
          </w:p>
        </w:tc>
        <w:tc>
          <w:tcPr>
            <w:tcW w:type="dxa" w:w="1134"/>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Melanggar aturan</w:t>
            </w:r>
          </w:p>
        </w:tc>
        <w:tc>
          <w:tcPr>
            <w:tcW w:type="dxa" w:w="1077"/>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Aturan &amp; ML</w:t>
            </w:r>
          </w:p>
        </w:tc>
        <w:tc>
          <w:tcPr>
            <w:tcW w:type="dxa" w:w="907"/>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ML saja</w:t>
            </w:r>
          </w:p>
        </w:tc>
        <w:tc>
          <w:tcPr>
            <w:tcW w:type="dxa" w:w="1361"/>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Nilai nol (informatif)</w:t>
            </w:r>
          </w:p>
        </w:tc>
        <w:tc>
          <w:tcPr>
            <w:tcW w:type="dxa" w:w="1361"/>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Daftar audit hibrida</w:t>
            </w:r>
          </w:p>
        </w:tc>
        <w:tc>
          <w:tcPr>
            <w:tcW w:type="dxa" w:w="1077"/>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 daftar audit</w:t>
            </w:r>
          </w:p>
        </w:tc>
      </w:tr>
      <w:tr>
        <w:tc>
          <w:tcPr>
            <w:tcW w:type="dxa" w:w="680"/>
            <w:tcMar>
              <w:top w:w="15" w:type="dxa"/>
              <w:bottom w:w="15" w:type="dxa"/>
            </w:tcMar>
          </w:tcPr>
          <w:p>
            <w:pPr>
              <w:spacing w:before="0" w:after="0" w:line="240" w:lineRule="auto"/>
              <w:jc w:val="left"/>
            </w:pPr>
            <w:r/>
            <w:r>
              <w:rPr>
                <w:rFonts w:ascii="Times New Roman" w:hAnsi="Times New Roman" w:eastAsia="Times New Roman"/>
                <w:b w:val="0"/>
                <w:i w:val="0"/>
                <w:sz w:val="16"/>
              </w:rPr>
              <w:t>2021</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6"/>
              </w:rPr>
              <w:t>45.689</w:t>
            </w:r>
          </w:p>
        </w:tc>
        <w:tc>
          <w:tcPr>
            <w:tcW w:type="dxa" w:w="1134"/>
            <w:tcMar>
              <w:top w:w="15" w:type="dxa"/>
              <w:bottom w:w="15" w:type="dxa"/>
            </w:tcMar>
          </w:tcPr>
          <w:p>
            <w:pPr>
              <w:spacing w:before="0" w:after="0" w:line="240" w:lineRule="auto"/>
              <w:jc w:val="center"/>
            </w:pPr>
            <w:r/>
            <w:r>
              <w:rPr>
                <w:rFonts w:ascii="Times New Roman" w:hAnsi="Times New Roman" w:eastAsia="Times New Roman"/>
                <w:b w:val="0"/>
                <w:i w:val="0"/>
                <w:sz w:val="16"/>
              </w:rPr>
              <w:t>2.131</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6"/>
              </w:rPr>
              <w:t>1.136</w:t>
            </w:r>
          </w:p>
        </w:tc>
        <w:tc>
          <w:tcPr>
            <w:tcW w:type="dxa" w:w="907"/>
            <w:tcMar>
              <w:top w:w="15" w:type="dxa"/>
              <w:bottom w:w="15" w:type="dxa"/>
            </w:tcMar>
          </w:tcPr>
          <w:p>
            <w:pPr>
              <w:spacing w:before="0" w:after="0" w:line="240" w:lineRule="auto"/>
              <w:jc w:val="center"/>
            </w:pPr>
            <w:r/>
            <w:r>
              <w:rPr>
                <w:rFonts w:ascii="Times New Roman" w:hAnsi="Times New Roman" w:eastAsia="Times New Roman"/>
                <w:b w:val="0"/>
                <w:i w:val="0"/>
                <w:sz w:val="16"/>
              </w:rPr>
              <w:t>452</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6"/>
              </w:rPr>
              <w:t>1.604</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6"/>
              </w:rPr>
              <w:t>2.583</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6"/>
              </w:rPr>
              <w:t>5,65</w:t>
            </w:r>
          </w:p>
        </w:tc>
      </w:tr>
      <w:tr>
        <w:tc>
          <w:tcPr>
            <w:tcW w:type="dxa" w:w="680"/>
            <w:tcMar>
              <w:top w:w="15" w:type="dxa"/>
              <w:bottom w:w="15" w:type="dxa"/>
            </w:tcMar>
          </w:tcPr>
          <w:p>
            <w:pPr>
              <w:spacing w:before="0" w:after="0" w:line="240" w:lineRule="auto"/>
              <w:jc w:val="left"/>
            </w:pPr>
            <w:r/>
            <w:r>
              <w:rPr>
                <w:rFonts w:ascii="Times New Roman" w:hAnsi="Times New Roman" w:eastAsia="Times New Roman"/>
                <w:b w:val="0"/>
                <w:i w:val="0"/>
                <w:sz w:val="16"/>
              </w:rPr>
              <w:t>2022</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6"/>
              </w:rPr>
              <w:t>43.935</w:t>
            </w:r>
          </w:p>
        </w:tc>
        <w:tc>
          <w:tcPr>
            <w:tcW w:type="dxa" w:w="1134"/>
            <w:tcMar>
              <w:top w:w="15" w:type="dxa"/>
              <w:bottom w:w="15" w:type="dxa"/>
            </w:tcMar>
          </w:tcPr>
          <w:p>
            <w:pPr>
              <w:spacing w:before="0" w:after="0" w:line="240" w:lineRule="auto"/>
              <w:jc w:val="center"/>
            </w:pPr>
            <w:r/>
            <w:r>
              <w:rPr>
                <w:rFonts w:ascii="Times New Roman" w:hAnsi="Times New Roman" w:eastAsia="Times New Roman"/>
                <w:b w:val="0"/>
                <w:i w:val="0"/>
                <w:sz w:val="16"/>
              </w:rPr>
              <w:t>2.249</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6"/>
              </w:rPr>
              <w:t>1.172</w:t>
            </w:r>
          </w:p>
        </w:tc>
        <w:tc>
          <w:tcPr>
            <w:tcW w:type="dxa" w:w="907"/>
            <w:tcMar>
              <w:top w:w="15" w:type="dxa"/>
              <w:bottom w:w="15" w:type="dxa"/>
            </w:tcMar>
          </w:tcPr>
          <w:p>
            <w:pPr>
              <w:spacing w:before="0" w:after="0" w:line="240" w:lineRule="auto"/>
              <w:jc w:val="center"/>
            </w:pPr>
            <w:r/>
            <w:r>
              <w:rPr>
                <w:rFonts w:ascii="Times New Roman" w:hAnsi="Times New Roman" w:eastAsia="Times New Roman"/>
                <w:b w:val="0"/>
                <w:i w:val="0"/>
                <w:sz w:val="16"/>
              </w:rPr>
              <w:t>400</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6"/>
              </w:rPr>
              <w:t>1.665</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6"/>
              </w:rPr>
              <w:t>2.649</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6"/>
              </w:rPr>
              <w:t>6,03</w:t>
            </w:r>
          </w:p>
        </w:tc>
      </w:tr>
      <w:tr>
        <w:tc>
          <w:tcPr>
            <w:tcW w:type="dxa" w:w="680"/>
            <w:tcMar>
              <w:top w:w="15" w:type="dxa"/>
              <w:bottom w:w="15" w:type="dxa"/>
            </w:tcMar>
          </w:tcPr>
          <w:p>
            <w:pPr>
              <w:spacing w:before="0" w:after="0" w:line="240" w:lineRule="auto"/>
              <w:jc w:val="left"/>
            </w:pPr>
            <w:r/>
            <w:r>
              <w:rPr>
                <w:rFonts w:ascii="Times New Roman" w:hAnsi="Times New Roman" w:eastAsia="Times New Roman"/>
                <w:b w:val="0"/>
                <w:i w:val="0"/>
                <w:sz w:val="16"/>
              </w:rPr>
              <w:t>2023</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6"/>
              </w:rPr>
              <w:t>52.309</w:t>
            </w:r>
          </w:p>
        </w:tc>
        <w:tc>
          <w:tcPr>
            <w:tcW w:type="dxa" w:w="1134"/>
            <w:tcMar>
              <w:top w:w="15" w:type="dxa"/>
              <w:bottom w:w="15" w:type="dxa"/>
            </w:tcMar>
          </w:tcPr>
          <w:p>
            <w:pPr>
              <w:spacing w:before="0" w:after="0" w:line="240" w:lineRule="auto"/>
              <w:jc w:val="center"/>
            </w:pPr>
            <w:r/>
            <w:r>
              <w:rPr>
                <w:rFonts w:ascii="Times New Roman" w:hAnsi="Times New Roman" w:eastAsia="Times New Roman"/>
                <w:b w:val="0"/>
                <w:i w:val="0"/>
                <w:sz w:val="16"/>
              </w:rPr>
              <w:t>2.450</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6"/>
              </w:rPr>
              <w:t>1.310</w:t>
            </w:r>
          </w:p>
        </w:tc>
        <w:tc>
          <w:tcPr>
            <w:tcW w:type="dxa" w:w="907"/>
            <w:tcMar>
              <w:top w:w="15" w:type="dxa"/>
              <w:bottom w:w="15" w:type="dxa"/>
            </w:tcMar>
          </w:tcPr>
          <w:p>
            <w:pPr>
              <w:spacing w:before="0" w:after="0" w:line="240" w:lineRule="auto"/>
              <w:jc w:val="center"/>
            </w:pPr>
            <w:r/>
            <w:r>
              <w:rPr>
                <w:rFonts w:ascii="Times New Roman" w:hAnsi="Times New Roman" w:eastAsia="Times New Roman"/>
                <w:b w:val="0"/>
                <w:i w:val="0"/>
                <w:sz w:val="16"/>
              </w:rPr>
              <w:t>520</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6"/>
              </w:rPr>
              <w:t>1.913</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6"/>
              </w:rPr>
              <w:t>2.970</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6"/>
              </w:rPr>
              <w:t>5,68</w:t>
            </w:r>
          </w:p>
        </w:tc>
      </w:tr>
      <w:tr>
        <w:tc>
          <w:tcPr>
            <w:tcW w:type="dxa" w:w="680"/>
            <w:tcMar>
              <w:top w:w="15" w:type="dxa"/>
              <w:bottom w:w="15" w:type="dxa"/>
            </w:tcMar>
          </w:tcPr>
          <w:p>
            <w:pPr>
              <w:spacing w:before="0" w:after="0" w:line="240" w:lineRule="auto"/>
              <w:jc w:val="left"/>
            </w:pPr>
            <w:r/>
            <w:r>
              <w:rPr>
                <w:rFonts w:ascii="Times New Roman" w:hAnsi="Times New Roman" w:eastAsia="Times New Roman"/>
                <w:b w:val="0"/>
                <w:i w:val="0"/>
                <w:sz w:val="16"/>
              </w:rPr>
              <w:t>2024</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6"/>
              </w:rPr>
              <w:t>51.966</w:t>
            </w:r>
          </w:p>
        </w:tc>
        <w:tc>
          <w:tcPr>
            <w:tcW w:type="dxa" w:w="1134"/>
            <w:tcMar>
              <w:top w:w="15" w:type="dxa"/>
              <w:bottom w:w="15" w:type="dxa"/>
            </w:tcMar>
          </w:tcPr>
          <w:p>
            <w:pPr>
              <w:spacing w:before="0" w:after="0" w:line="240" w:lineRule="auto"/>
              <w:jc w:val="center"/>
            </w:pPr>
            <w:r/>
            <w:r>
              <w:rPr>
                <w:rFonts w:ascii="Times New Roman" w:hAnsi="Times New Roman" w:eastAsia="Times New Roman"/>
                <w:b w:val="0"/>
                <w:i w:val="0"/>
                <w:sz w:val="16"/>
              </w:rPr>
              <w:t>3.273</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6"/>
              </w:rPr>
              <w:t>2.239</w:t>
            </w:r>
          </w:p>
        </w:tc>
        <w:tc>
          <w:tcPr>
            <w:tcW w:type="dxa" w:w="907"/>
            <w:tcMar>
              <w:top w:w="15" w:type="dxa"/>
              <w:bottom w:w="15" w:type="dxa"/>
            </w:tcMar>
          </w:tcPr>
          <w:p>
            <w:pPr>
              <w:spacing w:before="0" w:after="0" w:line="240" w:lineRule="auto"/>
              <w:jc w:val="center"/>
            </w:pPr>
            <w:r/>
            <w:r>
              <w:rPr>
                <w:rFonts w:ascii="Times New Roman" w:hAnsi="Times New Roman" w:eastAsia="Times New Roman"/>
                <w:b w:val="0"/>
                <w:i w:val="0"/>
                <w:sz w:val="16"/>
              </w:rPr>
              <w:t>696</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6"/>
              </w:rPr>
              <w:t>1.241</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6"/>
              </w:rPr>
              <w:t>3.969</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6"/>
              </w:rPr>
              <w:t>7,64</w:t>
            </w:r>
          </w:p>
        </w:tc>
      </w:tr>
    </w:tbl>
    <w:p>
      <w:pPr>
        <w:spacing w:before="0" w:after="0" w:line="240" w:lineRule="auto"/>
        <w:jc w:val="both"/>
      </w:pPr>
    </w:p>
    <w:p>
      <w:pPr>
        <w:spacing w:before="0" w:after="0" w:line="240" w:lineRule="auto"/>
        <w:jc w:val="both"/>
      </w:pPr>
      <w:r>
        <w:rPr>
          <w:rFonts w:ascii="Times New Roman" w:hAnsi="Times New Roman" w:eastAsia="Times New Roman"/>
          <w:b w:val="0"/>
          <w:i w:val="0"/>
          <w:sz w:val="20"/>
        </w:rPr>
        <w:t>Tabel 6 dan Gambar 7 merangkum penerapan pada 193.899 transaksi. Daftar audit hibrida mencakup 5,65%, 6,03%, 5,68%, dan 7,64% transaksi pada 2021–2024. Sebanyak 2.068 transaksi ditandai hanya oleh ML; alasan utamanya adalah z-skor nilai per jenis kendaraan yang mendekati batas aturan, besaran denda, dan BBNKB yang tidak lazim (Tabel 7). Transaksi nilai nol (6.423 yang tidak melanggar aturan) dipisahkan sebagai kategori informatif karena kemungkinan merupakan pengesahan tanpa pembayaran. Irisan pada Gambar 7 juga menunjukkan bahwa ML ikut menandai 100% transaksi R06 dan 100% transaksi R08, tetapi hanya 6,8% transaksi R09; artinya batas robust-z ±3,5 lebih ketat daripada pola yang dipelajari model dan dapat dikalibrasi ulang bersama petugas.</w:t>
      </w:r>
    </w:p>
    <w:p>
      <w:pPr>
        <w:keepNext/>
        <w:spacing w:before="80" w:after="0" w:line="240" w:lineRule="auto"/>
        <w:jc w:val="center"/>
      </w:pPr>
      <w:r>
        <w:drawing>
          <wp:inline xmlns:a="http://schemas.openxmlformats.org/drawingml/2006/main" xmlns:pic="http://schemas.openxmlformats.org/drawingml/2006/picture">
            <wp:extent cx="5220000" cy="2454297"/>
            <wp:docPr id="7" name="Picture 7"/>
            <wp:cNvGraphicFramePr>
              <a:graphicFrameLocks noChangeAspect="1"/>
            </wp:cNvGraphicFramePr>
            <a:graphic>
              <a:graphicData uri="http://schemas.openxmlformats.org/drawingml/2006/picture">
                <pic:pic>
                  <pic:nvPicPr>
                    <pic:cNvPr id="0" name="F13_temuan_data_riil.png"/>
                    <pic:cNvPicPr/>
                  </pic:nvPicPr>
                  <pic:blipFill>
                    <a:blip r:embed="rId19"/>
                    <a:stretch>
                      <a:fillRect/>
                    </a:stretch>
                  </pic:blipFill>
                  <pic:spPr>
                    <a:xfrm>
                      <a:off x="0" y="0"/>
                      <a:ext cx="5220000" cy="2454297"/>
                    </a:xfrm>
                    <a:prstGeom prst="rect"/>
                  </pic:spPr>
                </pic:pic>
              </a:graphicData>
            </a:graphic>
          </wp:inline>
        </w:drawing>
      </w:r>
    </w:p>
    <w:p>
      <w:pPr>
        <w:spacing w:before="0" w:after="80" w:line="240" w:lineRule="auto"/>
        <w:jc w:val="center"/>
      </w:pPr>
      <w:r>
        <w:rPr>
          <w:rFonts w:ascii="Times New Roman" w:hAnsi="Times New Roman" w:eastAsia="Times New Roman"/>
          <w:b w:val="0"/>
          <w:i w:val="0"/>
          <w:sz w:val="18"/>
        </w:rPr>
        <w:t>Gambar 7: Komposisi transaksi terflag per tahun (kiri) dan irisan pelanggaran aturan dengan bendera ML (kanan)</w:t>
      </w:r>
    </w:p>
    <w:p>
      <w:pPr>
        <w:keepNext/>
        <w:spacing w:before="80" w:after="0" w:line="240" w:lineRule="auto"/>
        <w:jc w:val="center"/>
      </w:pPr>
      <w:r>
        <w:rPr>
          <w:rFonts w:ascii="Times New Roman" w:hAnsi="Times New Roman" w:eastAsia="Times New Roman"/>
          <w:b w:val="0"/>
          <w:i w:val="0"/>
          <w:sz w:val="16"/>
        </w:rPr>
        <w:t>Tabel 7: Contoh transaksi prioritas audit beserta kode alasan (identitas kendaraan dipseudonimkan)</w:t>
      </w:r>
    </w:p>
    <w:tbl>
      <w:tblPr>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W w:w="9072" w:type="dxa"/>
        <w:tblLayout w:type="fixed"/>
      </w:tblPr>
      <w:tblGrid>
        <w:gridCol w:w="567"/>
        <w:gridCol w:w="793"/>
        <w:gridCol w:w="567"/>
        <w:gridCol w:w="1077"/>
        <w:gridCol w:w="1077"/>
        <w:gridCol w:w="1134"/>
        <w:gridCol w:w="737"/>
        <w:gridCol w:w="3118"/>
      </w:tblGrid>
      <w:tr>
        <w:tc>
          <w:tcPr>
            <w:tcW w:type="dxa" w:w="567"/>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4"/>
              </w:rPr>
              <w:t>Tahun</w:t>
            </w:r>
          </w:p>
        </w:tc>
        <w:tc>
          <w:tcPr>
            <w:tcW w:type="dxa" w:w="794"/>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4"/>
              </w:rPr>
              <w:t>Mohon|mutasi</w:t>
            </w:r>
          </w:p>
        </w:tc>
        <w:tc>
          <w:tcPr>
            <w:tcW w:type="dxa" w:w="567"/>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4"/>
              </w:rPr>
              <w:t>Jenis</w:t>
            </w:r>
          </w:p>
        </w:tc>
        <w:tc>
          <w:tcPr>
            <w:tcW w:type="dxa" w:w="1077"/>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4"/>
              </w:rPr>
              <w:t>PKB pokok (Rp)</w:t>
            </w:r>
          </w:p>
        </w:tc>
        <w:tc>
          <w:tcPr>
            <w:tcW w:type="dxa" w:w="1077"/>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4"/>
              </w:rPr>
              <w:t>BBNKB (Rp)</w:t>
            </w:r>
          </w:p>
        </w:tc>
        <w:tc>
          <w:tcPr>
            <w:tcW w:type="dxa" w:w="1134"/>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4"/>
              </w:rPr>
              <w:t>Tunggakan (Rp)</w:t>
            </w:r>
          </w:p>
        </w:tc>
        <w:tc>
          <w:tcPr>
            <w:tcW w:type="dxa" w:w="737"/>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4"/>
              </w:rPr>
              <w:t>Aturan</w:t>
            </w:r>
          </w:p>
        </w:tc>
        <w:tc>
          <w:tcPr>
            <w:tcW w:type="dxa" w:w="3118"/>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4"/>
              </w:rPr>
              <w:t>Alasan AE (3 teratas)</w:t>
            </w:r>
          </w:p>
        </w:tc>
      </w:tr>
      <w:tr>
        <w:tc>
          <w:tcPr>
            <w:tcW w:type="dxa" w:w="567"/>
            <w:tcMar>
              <w:top w:w="15" w:type="dxa"/>
              <w:bottom w:w="15" w:type="dxa"/>
            </w:tcMar>
          </w:tcPr>
          <w:p>
            <w:pPr>
              <w:spacing w:before="0" w:after="0" w:line="240" w:lineRule="auto"/>
              <w:jc w:val="left"/>
            </w:pPr>
            <w:r/>
            <w:r>
              <w:rPr>
                <w:rFonts w:ascii="Times New Roman" w:hAnsi="Times New Roman" w:eastAsia="Times New Roman"/>
                <w:b w:val="0"/>
                <w:i w:val="0"/>
                <w:sz w:val="14"/>
              </w:rPr>
              <w:t>2024</w:t>
            </w:r>
          </w:p>
        </w:tc>
        <w:tc>
          <w:tcPr>
            <w:tcW w:type="dxa" w:w="794"/>
            <w:tcMar>
              <w:top w:w="15" w:type="dxa"/>
              <w:bottom w:w="15" w:type="dxa"/>
            </w:tcMar>
          </w:tcPr>
          <w:p>
            <w:pPr>
              <w:spacing w:before="0" w:after="0" w:line="240" w:lineRule="auto"/>
              <w:jc w:val="center"/>
            </w:pPr>
            <w:r/>
            <w:r>
              <w:rPr>
                <w:rFonts w:ascii="Times New Roman" w:hAnsi="Times New Roman" w:eastAsia="Times New Roman"/>
                <w:b w:val="0"/>
                <w:i w:val="0"/>
                <w:sz w:val="14"/>
              </w:rPr>
              <w:t>2|4</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4"/>
              </w:rPr>
              <w:t>702</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4"/>
              </w:rPr>
              <w:t>0</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4"/>
              </w:rPr>
              <w:t>0</w:t>
            </w:r>
          </w:p>
        </w:tc>
        <w:tc>
          <w:tcPr>
            <w:tcW w:type="dxa" w:w="1134"/>
            <w:tcMar>
              <w:top w:w="15" w:type="dxa"/>
              <w:bottom w:w="15" w:type="dxa"/>
            </w:tcMar>
          </w:tcPr>
          <w:p>
            <w:pPr>
              <w:spacing w:before="0" w:after="0" w:line="240" w:lineRule="auto"/>
              <w:jc w:val="center"/>
            </w:pPr>
            <w:r/>
            <w:r>
              <w:rPr>
                <w:rFonts w:ascii="Times New Roman" w:hAnsi="Times New Roman" w:eastAsia="Times New Roman"/>
                <w:b w:val="0"/>
                <w:i w:val="0"/>
                <w:sz w:val="14"/>
              </w:rPr>
              <w:t>854.100</w:t>
            </w:r>
          </w:p>
        </w:tc>
        <w:tc>
          <w:tcPr>
            <w:tcW w:type="dxa" w:w="737"/>
            <w:tcMar>
              <w:top w:w="15" w:type="dxa"/>
              <w:bottom w:w="15" w:type="dxa"/>
            </w:tcMar>
          </w:tcPr>
          <w:p>
            <w:pPr>
              <w:spacing w:before="0" w:after="0" w:line="240" w:lineRule="auto"/>
              <w:jc w:val="center"/>
            </w:pPr>
            <w:r/>
            <w:r>
              <w:rPr>
                <w:rFonts w:ascii="Times New Roman" w:hAnsi="Times New Roman" w:eastAsia="Times New Roman"/>
                <w:b w:val="0"/>
                <w:i w:val="0"/>
                <w:sz w:val="14"/>
              </w:rPr>
              <w:t>R06,R08</w:t>
            </w:r>
          </w:p>
        </w:tc>
        <w:tc>
          <w:tcPr>
            <w:tcW w:type="dxa" w:w="3118"/>
            <w:tcMar>
              <w:top w:w="15" w:type="dxa"/>
              <w:bottom w:w="15" w:type="dxa"/>
            </w:tcMar>
          </w:tcPr>
          <w:p>
            <w:pPr>
              <w:spacing w:before="0" w:after="0" w:line="240" w:lineRule="auto"/>
              <w:jc w:val="left"/>
            </w:pPr>
            <w:r/>
            <w:r>
              <w:rPr>
                <w:rFonts w:ascii="Times New Roman" w:hAnsi="Times New Roman" w:eastAsia="Times New Roman"/>
                <w:b w:val="0"/>
                <w:i w:val="0"/>
                <w:sz w:val="14"/>
              </w:rPr>
              <w:t>freq kd jenis kb, z jenis, log pkbpok</w:t>
            </w:r>
          </w:p>
        </w:tc>
      </w:tr>
      <w:tr>
        <w:tc>
          <w:tcPr>
            <w:tcW w:type="dxa" w:w="567"/>
            <w:tcMar>
              <w:top w:w="15" w:type="dxa"/>
              <w:bottom w:w="15" w:type="dxa"/>
            </w:tcMar>
          </w:tcPr>
          <w:p>
            <w:pPr>
              <w:spacing w:before="0" w:after="0" w:line="240" w:lineRule="auto"/>
              <w:jc w:val="left"/>
            </w:pPr>
            <w:r/>
            <w:r>
              <w:rPr>
                <w:rFonts w:ascii="Times New Roman" w:hAnsi="Times New Roman" w:eastAsia="Times New Roman"/>
                <w:b w:val="0"/>
                <w:i w:val="0"/>
                <w:sz w:val="14"/>
              </w:rPr>
              <w:t>2024</w:t>
            </w:r>
          </w:p>
        </w:tc>
        <w:tc>
          <w:tcPr>
            <w:tcW w:type="dxa" w:w="794"/>
            <w:tcMar>
              <w:top w:w="15" w:type="dxa"/>
              <w:bottom w:w="15" w:type="dxa"/>
            </w:tcMar>
          </w:tcPr>
          <w:p>
            <w:pPr>
              <w:spacing w:before="0" w:after="0" w:line="240" w:lineRule="auto"/>
              <w:jc w:val="center"/>
            </w:pPr>
            <w:r/>
            <w:r>
              <w:rPr>
                <w:rFonts w:ascii="Times New Roman" w:hAnsi="Times New Roman" w:eastAsia="Times New Roman"/>
                <w:b w:val="0"/>
                <w:i w:val="0"/>
                <w:sz w:val="14"/>
              </w:rPr>
              <w:t>2|4</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4"/>
              </w:rPr>
              <w:t>401</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4"/>
              </w:rPr>
              <w:t>0</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4"/>
              </w:rPr>
              <w:t>0</w:t>
            </w:r>
          </w:p>
        </w:tc>
        <w:tc>
          <w:tcPr>
            <w:tcW w:type="dxa" w:w="1134"/>
            <w:tcMar>
              <w:top w:w="15" w:type="dxa"/>
              <w:bottom w:w="15" w:type="dxa"/>
            </w:tcMar>
          </w:tcPr>
          <w:p>
            <w:pPr>
              <w:spacing w:before="0" w:after="0" w:line="240" w:lineRule="auto"/>
              <w:jc w:val="center"/>
            </w:pPr>
            <w:r/>
            <w:r>
              <w:rPr>
                <w:rFonts w:ascii="Times New Roman" w:hAnsi="Times New Roman" w:eastAsia="Times New Roman"/>
                <w:b w:val="0"/>
                <w:i w:val="0"/>
                <w:sz w:val="14"/>
              </w:rPr>
              <w:t>7.856.300</w:t>
            </w:r>
          </w:p>
        </w:tc>
        <w:tc>
          <w:tcPr>
            <w:tcW w:type="dxa" w:w="737"/>
            <w:tcMar>
              <w:top w:w="15" w:type="dxa"/>
              <w:bottom w:w="15" w:type="dxa"/>
            </w:tcMar>
          </w:tcPr>
          <w:p>
            <w:pPr>
              <w:spacing w:before="0" w:after="0" w:line="240" w:lineRule="auto"/>
              <w:jc w:val="center"/>
            </w:pPr>
            <w:r/>
            <w:r>
              <w:rPr>
                <w:rFonts w:ascii="Times New Roman" w:hAnsi="Times New Roman" w:eastAsia="Times New Roman"/>
                <w:b w:val="0"/>
                <w:i w:val="0"/>
                <w:sz w:val="14"/>
              </w:rPr>
              <w:t>R06,R08</w:t>
            </w:r>
          </w:p>
        </w:tc>
        <w:tc>
          <w:tcPr>
            <w:tcW w:type="dxa" w:w="3118"/>
            <w:tcMar>
              <w:top w:w="15" w:type="dxa"/>
              <w:bottom w:w="15" w:type="dxa"/>
            </w:tcMar>
          </w:tcPr>
          <w:p>
            <w:pPr>
              <w:spacing w:before="0" w:after="0" w:line="240" w:lineRule="auto"/>
              <w:jc w:val="left"/>
            </w:pPr>
            <w:r/>
            <w:r>
              <w:rPr>
                <w:rFonts w:ascii="Times New Roman" w:hAnsi="Times New Roman" w:eastAsia="Times New Roman"/>
                <w:b w:val="0"/>
                <w:i w:val="0"/>
                <w:sz w:val="14"/>
              </w:rPr>
              <w:t>z jenis, bbn x pair, log pkbpok</w:t>
            </w:r>
          </w:p>
        </w:tc>
      </w:tr>
      <w:tr>
        <w:tc>
          <w:tcPr>
            <w:tcW w:type="dxa" w:w="567"/>
            <w:tcMar>
              <w:top w:w="15" w:type="dxa"/>
              <w:bottom w:w="15" w:type="dxa"/>
            </w:tcMar>
          </w:tcPr>
          <w:p>
            <w:pPr>
              <w:spacing w:before="0" w:after="0" w:line="240" w:lineRule="auto"/>
              <w:jc w:val="left"/>
            </w:pPr>
            <w:r/>
            <w:r>
              <w:rPr>
                <w:rFonts w:ascii="Times New Roman" w:hAnsi="Times New Roman" w:eastAsia="Times New Roman"/>
                <w:b w:val="0"/>
                <w:i w:val="0"/>
                <w:sz w:val="14"/>
              </w:rPr>
              <w:t>2024</w:t>
            </w:r>
          </w:p>
        </w:tc>
        <w:tc>
          <w:tcPr>
            <w:tcW w:type="dxa" w:w="794"/>
            <w:tcMar>
              <w:top w:w="15" w:type="dxa"/>
              <w:bottom w:w="15" w:type="dxa"/>
            </w:tcMar>
          </w:tcPr>
          <w:p>
            <w:pPr>
              <w:spacing w:before="0" w:after="0" w:line="240" w:lineRule="auto"/>
              <w:jc w:val="center"/>
            </w:pPr>
            <w:r/>
            <w:r>
              <w:rPr>
                <w:rFonts w:ascii="Times New Roman" w:hAnsi="Times New Roman" w:eastAsia="Times New Roman"/>
                <w:b w:val="0"/>
                <w:i w:val="0"/>
                <w:sz w:val="14"/>
              </w:rPr>
              <w:t>4|1</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4"/>
              </w:rPr>
              <w:t>201</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4"/>
              </w:rPr>
              <w:t>874.500</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4"/>
              </w:rPr>
              <w:t>795.000</w:t>
            </w:r>
          </w:p>
        </w:tc>
        <w:tc>
          <w:tcPr>
            <w:tcW w:type="dxa" w:w="1134"/>
            <w:tcMar>
              <w:top w:w="15" w:type="dxa"/>
              <w:bottom w:w="15" w:type="dxa"/>
            </w:tcMar>
          </w:tcPr>
          <w:p>
            <w:pPr>
              <w:spacing w:before="0" w:after="0" w:line="240" w:lineRule="auto"/>
              <w:jc w:val="center"/>
            </w:pPr>
            <w:r/>
            <w:r>
              <w:rPr>
                <w:rFonts w:ascii="Times New Roman" w:hAnsi="Times New Roman" w:eastAsia="Times New Roman"/>
                <w:b w:val="0"/>
                <w:i w:val="0"/>
                <w:sz w:val="14"/>
              </w:rPr>
              <w:t>0</w:t>
            </w:r>
          </w:p>
        </w:tc>
        <w:tc>
          <w:tcPr>
            <w:tcW w:type="dxa" w:w="737"/>
            <w:tcMar>
              <w:top w:w="15" w:type="dxa"/>
              <w:bottom w:w="15" w:type="dxa"/>
            </w:tcMar>
          </w:tcPr>
          <w:p>
            <w:pPr>
              <w:spacing w:before="0" w:after="0" w:line="240" w:lineRule="auto"/>
              <w:jc w:val="center"/>
            </w:pPr>
            <w:r/>
            <w:r>
              <w:rPr>
                <w:rFonts w:ascii="Times New Roman" w:hAnsi="Times New Roman" w:eastAsia="Times New Roman"/>
                <w:b w:val="0"/>
                <w:i w:val="0"/>
                <w:sz w:val="14"/>
              </w:rPr>
              <w:t>-</w:t>
            </w:r>
          </w:p>
        </w:tc>
        <w:tc>
          <w:tcPr>
            <w:tcW w:type="dxa" w:w="3118"/>
            <w:tcMar>
              <w:top w:w="15" w:type="dxa"/>
              <w:bottom w:w="15" w:type="dxa"/>
            </w:tcMar>
          </w:tcPr>
          <w:p>
            <w:pPr>
              <w:spacing w:before="0" w:after="0" w:line="240" w:lineRule="auto"/>
              <w:jc w:val="left"/>
            </w:pPr>
            <w:r/>
            <w:r>
              <w:rPr>
                <w:rFonts w:ascii="Times New Roman" w:hAnsi="Times New Roman" w:eastAsia="Times New Roman"/>
                <w:b w:val="0"/>
                <w:i w:val="0"/>
                <w:sz w:val="14"/>
              </w:rPr>
              <w:t>freq kd jenis kb, bbn x pair, z jenis</w:t>
            </w:r>
          </w:p>
        </w:tc>
      </w:tr>
      <w:tr>
        <w:tc>
          <w:tcPr>
            <w:tcW w:type="dxa" w:w="567"/>
            <w:tcMar>
              <w:top w:w="15" w:type="dxa"/>
              <w:bottom w:w="15" w:type="dxa"/>
            </w:tcMar>
          </w:tcPr>
          <w:p>
            <w:pPr>
              <w:spacing w:before="0" w:after="0" w:line="240" w:lineRule="auto"/>
              <w:jc w:val="left"/>
            </w:pPr>
            <w:r/>
            <w:r>
              <w:rPr>
                <w:rFonts w:ascii="Times New Roman" w:hAnsi="Times New Roman" w:eastAsia="Times New Roman"/>
                <w:b w:val="0"/>
                <w:i w:val="0"/>
                <w:sz w:val="14"/>
              </w:rPr>
              <w:t>2021</w:t>
            </w:r>
          </w:p>
        </w:tc>
        <w:tc>
          <w:tcPr>
            <w:tcW w:type="dxa" w:w="794"/>
            <w:tcMar>
              <w:top w:w="15" w:type="dxa"/>
              <w:bottom w:w="15" w:type="dxa"/>
            </w:tcMar>
          </w:tcPr>
          <w:p>
            <w:pPr>
              <w:spacing w:before="0" w:after="0" w:line="240" w:lineRule="auto"/>
              <w:jc w:val="center"/>
            </w:pPr>
            <w:r/>
            <w:r>
              <w:rPr>
                <w:rFonts w:ascii="Times New Roman" w:hAnsi="Times New Roman" w:eastAsia="Times New Roman"/>
                <w:b w:val="0"/>
                <w:i w:val="0"/>
                <w:sz w:val="14"/>
              </w:rPr>
              <w:t>2|4</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4"/>
              </w:rPr>
              <w:t>301</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4"/>
              </w:rPr>
              <w:t>436.700</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4"/>
              </w:rPr>
              <w:t>230.000</w:t>
            </w:r>
          </w:p>
        </w:tc>
        <w:tc>
          <w:tcPr>
            <w:tcW w:type="dxa" w:w="1134"/>
            <w:tcMar>
              <w:top w:w="15" w:type="dxa"/>
              <w:bottom w:w="15" w:type="dxa"/>
            </w:tcMar>
          </w:tcPr>
          <w:p>
            <w:pPr>
              <w:spacing w:before="0" w:after="0" w:line="240" w:lineRule="auto"/>
              <w:jc w:val="center"/>
            </w:pPr>
            <w:r/>
            <w:r>
              <w:rPr>
                <w:rFonts w:ascii="Times New Roman" w:hAnsi="Times New Roman" w:eastAsia="Times New Roman"/>
                <w:b w:val="0"/>
                <w:i w:val="0"/>
                <w:sz w:val="14"/>
              </w:rPr>
              <w:t>2.255.100</w:t>
            </w:r>
          </w:p>
        </w:tc>
        <w:tc>
          <w:tcPr>
            <w:tcW w:type="dxa" w:w="737"/>
            <w:tcMar>
              <w:top w:w="15" w:type="dxa"/>
              <w:bottom w:w="15" w:type="dxa"/>
            </w:tcMar>
          </w:tcPr>
          <w:p>
            <w:pPr>
              <w:spacing w:before="0" w:after="0" w:line="240" w:lineRule="auto"/>
              <w:jc w:val="center"/>
            </w:pPr>
            <w:r/>
            <w:r>
              <w:rPr>
                <w:rFonts w:ascii="Times New Roman" w:hAnsi="Times New Roman" w:eastAsia="Times New Roman"/>
                <w:b w:val="0"/>
                <w:i w:val="0"/>
                <w:sz w:val="14"/>
              </w:rPr>
              <w:t>-</w:t>
            </w:r>
          </w:p>
        </w:tc>
        <w:tc>
          <w:tcPr>
            <w:tcW w:type="dxa" w:w="3118"/>
            <w:tcMar>
              <w:top w:w="15" w:type="dxa"/>
              <w:bottom w:w="15" w:type="dxa"/>
            </w:tcMar>
          </w:tcPr>
          <w:p>
            <w:pPr>
              <w:spacing w:before="0" w:after="0" w:line="240" w:lineRule="auto"/>
              <w:jc w:val="left"/>
            </w:pPr>
            <w:r/>
            <w:r>
              <w:rPr>
                <w:rFonts w:ascii="Times New Roman" w:hAnsi="Times New Roman" w:eastAsia="Times New Roman"/>
                <w:b w:val="0"/>
                <w:i w:val="0"/>
                <w:sz w:val="14"/>
              </w:rPr>
              <w:t>freq kd jenis kb, z jenis, log pkbpok</w:t>
            </w:r>
          </w:p>
        </w:tc>
      </w:tr>
      <w:tr>
        <w:tc>
          <w:tcPr>
            <w:tcW w:type="dxa" w:w="567"/>
            <w:tcMar>
              <w:top w:w="15" w:type="dxa"/>
              <w:bottom w:w="15" w:type="dxa"/>
            </w:tcMar>
          </w:tcPr>
          <w:p>
            <w:pPr>
              <w:spacing w:before="0" w:after="0" w:line="240" w:lineRule="auto"/>
              <w:jc w:val="left"/>
            </w:pPr>
            <w:r/>
            <w:r>
              <w:rPr>
                <w:rFonts w:ascii="Times New Roman" w:hAnsi="Times New Roman" w:eastAsia="Times New Roman"/>
                <w:b w:val="0"/>
                <w:i w:val="0"/>
                <w:sz w:val="14"/>
              </w:rPr>
              <w:t>2023</w:t>
            </w:r>
          </w:p>
        </w:tc>
        <w:tc>
          <w:tcPr>
            <w:tcW w:type="dxa" w:w="794"/>
            <w:tcMar>
              <w:top w:w="15" w:type="dxa"/>
              <w:bottom w:w="15" w:type="dxa"/>
            </w:tcMar>
          </w:tcPr>
          <w:p>
            <w:pPr>
              <w:spacing w:before="0" w:after="0" w:line="240" w:lineRule="auto"/>
              <w:jc w:val="center"/>
            </w:pPr>
            <w:r/>
            <w:r>
              <w:rPr>
                <w:rFonts w:ascii="Times New Roman" w:hAnsi="Times New Roman" w:eastAsia="Times New Roman"/>
                <w:b w:val="0"/>
                <w:i w:val="0"/>
                <w:sz w:val="14"/>
              </w:rPr>
              <w:t>3|NA</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4"/>
              </w:rPr>
              <w:t>582</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4"/>
              </w:rPr>
              <w:t>2.788.800</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4"/>
              </w:rPr>
              <w:t>24.900.000</w:t>
            </w:r>
          </w:p>
        </w:tc>
        <w:tc>
          <w:tcPr>
            <w:tcW w:type="dxa" w:w="1134"/>
            <w:tcMar>
              <w:top w:w="15" w:type="dxa"/>
              <w:bottom w:w="15" w:type="dxa"/>
            </w:tcMar>
          </w:tcPr>
          <w:p>
            <w:pPr>
              <w:spacing w:before="0" w:after="0" w:line="240" w:lineRule="auto"/>
              <w:jc w:val="center"/>
            </w:pPr>
            <w:r/>
            <w:r>
              <w:rPr>
                <w:rFonts w:ascii="Times New Roman" w:hAnsi="Times New Roman" w:eastAsia="Times New Roman"/>
                <w:b w:val="0"/>
                <w:i w:val="0"/>
                <w:sz w:val="14"/>
              </w:rPr>
              <w:t>0</w:t>
            </w:r>
          </w:p>
        </w:tc>
        <w:tc>
          <w:tcPr>
            <w:tcW w:type="dxa" w:w="737"/>
            <w:tcMar>
              <w:top w:w="15" w:type="dxa"/>
              <w:bottom w:w="15" w:type="dxa"/>
            </w:tcMar>
          </w:tcPr>
          <w:p>
            <w:pPr>
              <w:spacing w:before="0" w:after="0" w:line="240" w:lineRule="auto"/>
              <w:jc w:val="center"/>
            </w:pPr>
            <w:r/>
            <w:r>
              <w:rPr>
                <w:rFonts w:ascii="Times New Roman" w:hAnsi="Times New Roman" w:eastAsia="Times New Roman"/>
                <w:b w:val="0"/>
                <w:i w:val="0"/>
                <w:sz w:val="14"/>
              </w:rPr>
              <w:t>-</w:t>
            </w:r>
          </w:p>
        </w:tc>
        <w:tc>
          <w:tcPr>
            <w:tcW w:type="dxa" w:w="3118"/>
            <w:tcMar>
              <w:top w:w="15" w:type="dxa"/>
              <w:bottom w:w="15" w:type="dxa"/>
            </w:tcMar>
          </w:tcPr>
          <w:p>
            <w:pPr>
              <w:spacing w:before="0" w:after="0" w:line="240" w:lineRule="auto"/>
              <w:jc w:val="left"/>
            </w:pPr>
            <w:r/>
            <w:r>
              <w:rPr>
                <w:rFonts w:ascii="Times New Roman" w:hAnsi="Times New Roman" w:eastAsia="Times New Roman"/>
                <w:b w:val="0"/>
                <w:i w:val="0"/>
                <w:sz w:val="14"/>
              </w:rPr>
              <w:t>freq kd jenis kb, bbn x pair, log bbnden</w:t>
            </w:r>
          </w:p>
        </w:tc>
      </w:tr>
      <w:tr>
        <w:tc>
          <w:tcPr>
            <w:tcW w:type="dxa" w:w="567"/>
            <w:tcMar>
              <w:top w:w="15" w:type="dxa"/>
              <w:bottom w:w="15" w:type="dxa"/>
            </w:tcMar>
          </w:tcPr>
          <w:p>
            <w:pPr>
              <w:spacing w:before="0" w:after="0" w:line="240" w:lineRule="auto"/>
              <w:jc w:val="left"/>
            </w:pPr>
            <w:r/>
            <w:r>
              <w:rPr>
                <w:rFonts w:ascii="Times New Roman" w:hAnsi="Times New Roman" w:eastAsia="Times New Roman"/>
                <w:b w:val="0"/>
                <w:i w:val="0"/>
                <w:sz w:val="14"/>
              </w:rPr>
              <w:t>2021</w:t>
            </w:r>
          </w:p>
        </w:tc>
        <w:tc>
          <w:tcPr>
            <w:tcW w:type="dxa" w:w="794"/>
            <w:tcMar>
              <w:top w:w="15" w:type="dxa"/>
              <w:bottom w:w="15" w:type="dxa"/>
            </w:tcMar>
          </w:tcPr>
          <w:p>
            <w:pPr>
              <w:spacing w:before="0" w:after="0" w:line="240" w:lineRule="auto"/>
              <w:jc w:val="center"/>
            </w:pPr>
            <w:r/>
            <w:r>
              <w:rPr>
                <w:rFonts w:ascii="Times New Roman" w:hAnsi="Times New Roman" w:eastAsia="Times New Roman"/>
                <w:b w:val="0"/>
                <w:i w:val="0"/>
                <w:sz w:val="14"/>
              </w:rPr>
              <w:t>2|4</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4"/>
              </w:rPr>
              <w:t>101</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4"/>
              </w:rPr>
              <w:t>5.345.400</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4"/>
              </w:rPr>
              <w:t>2.980.000</w:t>
            </w:r>
          </w:p>
        </w:tc>
        <w:tc>
          <w:tcPr>
            <w:tcW w:type="dxa" w:w="1134"/>
            <w:tcMar>
              <w:top w:w="15" w:type="dxa"/>
              <w:bottom w:w="15" w:type="dxa"/>
            </w:tcMar>
          </w:tcPr>
          <w:p>
            <w:pPr>
              <w:spacing w:before="0" w:after="0" w:line="240" w:lineRule="auto"/>
              <w:jc w:val="center"/>
            </w:pPr>
            <w:r/>
            <w:r>
              <w:rPr>
                <w:rFonts w:ascii="Times New Roman" w:hAnsi="Times New Roman" w:eastAsia="Times New Roman"/>
                <w:b w:val="0"/>
                <w:i w:val="0"/>
                <w:sz w:val="14"/>
              </w:rPr>
              <w:t>32.682.000</w:t>
            </w:r>
          </w:p>
        </w:tc>
        <w:tc>
          <w:tcPr>
            <w:tcW w:type="dxa" w:w="737"/>
            <w:tcMar>
              <w:top w:w="15" w:type="dxa"/>
              <w:bottom w:w="15" w:type="dxa"/>
            </w:tcMar>
          </w:tcPr>
          <w:p>
            <w:pPr>
              <w:spacing w:before="0" w:after="0" w:line="240" w:lineRule="auto"/>
              <w:jc w:val="center"/>
            </w:pPr>
            <w:r/>
            <w:r>
              <w:rPr>
                <w:rFonts w:ascii="Times New Roman" w:hAnsi="Times New Roman" w:eastAsia="Times New Roman"/>
                <w:b w:val="0"/>
                <w:i w:val="0"/>
                <w:sz w:val="14"/>
              </w:rPr>
              <w:t>-</w:t>
            </w:r>
          </w:p>
        </w:tc>
        <w:tc>
          <w:tcPr>
            <w:tcW w:type="dxa" w:w="3118"/>
            <w:tcMar>
              <w:top w:w="15" w:type="dxa"/>
              <w:bottom w:w="15" w:type="dxa"/>
            </w:tcMar>
          </w:tcPr>
          <w:p>
            <w:pPr>
              <w:spacing w:before="0" w:after="0" w:line="240" w:lineRule="auto"/>
              <w:jc w:val="left"/>
            </w:pPr>
            <w:r/>
            <w:r>
              <w:rPr>
                <w:rFonts w:ascii="Times New Roman" w:hAnsi="Times New Roman" w:eastAsia="Times New Roman"/>
                <w:b w:val="0"/>
                <w:i w:val="0"/>
                <w:sz w:val="14"/>
              </w:rPr>
              <w:t>freq kd jenis kb, z bbn, r dentgk</w:t>
            </w:r>
          </w:p>
        </w:tc>
      </w:tr>
    </w:tbl>
    <w:p>
      <w:pPr>
        <w:spacing w:before="0" w:after="0" w:line="240" w:lineRule="auto"/>
        <w:jc w:val="both"/>
      </w:pPr>
    </w:p>
    <w:p>
      <w:pPr>
        <w:spacing w:before="0" w:after="0" w:line="240" w:lineRule="auto"/>
        <w:jc w:val="both"/>
      </w:pPr>
      <w:r>
        <w:rPr>
          <w:rFonts w:ascii="Times New Roman" w:hAnsi="Times New Roman" w:eastAsia="Times New Roman"/>
          <w:b w:val="0"/>
          <w:i w:val="0"/>
          <w:sz w:val="20"/>
        </w:rPr>
        <w:t>Contoh pada Tabel 7 memperlihatkan bentuk keluaran yang dapat ditindaklanjuti: dua transaksi teratas melanggar R06 dan R08 (tunggakan dibayar tanpa pokok tahun berjalan pada kode yang lazimnya disertai BBNKB), sedangkan transaksi ML-saja mencakup mutasi armada bus dengan nilai identik, registrasi kode kendaraan langka dengan BBNKB tinggi, dan rasio BBNKB/PKB yang tidak lazim. Tidak semua transaksi tersebut merupakan kesalahan; peran sistem adalah memprioritaskan verifikasi sehingga petugas dapat memeriksa ratusan transaksi alih-alih ratusan ribu.</w:t>
      </w:r>
    </w:p>
    <w:p>
      <w:pPr>
        <w:keepNext/>
        <w:spacing w:before="80" w:after="40" w:line="240" w:lineRule="auto"/>
        <w:jc w:val="left"/>
      </w:pPr>
      <w:r>
        <w:rPr>
          <w:rFonts w:ascii="Times New Roman" w:hAnsi="Times New Roman" w:eastAsia="Times New Roman"/>
          <w:b/>
          <w:i w:val="0"/>
          <w:sz w:val="20"/>
        </w:rPr>
        <w:t>3.5 Implikasi dan keterbatasan</w:t>
      </w:r>
    </w:p>
    <w:p>
      <w:pPr>
        <w:spacing w:before="0" w:after="0" w:line="240" w:lineRule="auto"/>
        <w:jc w:val="both"/>
      </w:pPr>
      <w:r>
        <w:rPr>
          <w:rFonts w:ascii="Times New Roman" w:hAnsi="Times New Roman" w:eastAsia="Times New Roman"/>
          <w:b w:val="0"/>
          <w:i w:val="0"/>
          <w:sz w:val="20"/>
        </w:rPr>
        <w:t>Bagi sistem informasi pemerintahan, hasil ini menunjukkan tiga implikasi praktis. Pertama, validasi entri ISQL-WEB SAMSAT dapat diperkuat dengan aturan R01–R11 yang dijalankan harian. Kedua, perubahan skema kode perlu didokumentasikan dalam kamus data berversi agar analitik lintas tahun tidak bias. Ketiga, daftar prioritas hibrida beserta kode alasan dapat menjadi dasar audit internal dan rekonsiliasi penerimaan. Keterbatasan penelitian ini adalah: anomali dievaluasi melalui injeksi sintetis sehingga kinerja pada kesalahan nyata perlu dikonfirmasi dengan verifikasi petugas; semantik kode diturunkan dari data karena kamus resmi tidak tersedia; dan data hanya mencakup periode Mei–Juni dari wilayah Samsat yang diteliti.</w:t>
      </w:r>
    </w:p>
    <w:p>
      <w:pPr>
        <w:spacing w:before="0" w:after="0" w:line="240" w:lineRule="auto"/>
        <w:jc w:val="both"/>
      </w:pPr>
    </w:p>
    <w:p>
      <w:pPr>
        <w:keepNext/>
        <w:spacing w:before="0" w:after="60" w:line="240" w:lineRule="auto"/>
        <w:jc w:val="left"/>
      </w:pPr>
      <w:r>
        <w:rPr>
          <w:rFonts w:ascii="Times New Roman" w:hAnsi="Times New Roman" w:eastAsia="Times New Roman"/>
          <w:b/>
          <w:i w:val="0"/>
          <w:sz w:val="20"/>
        </w:rPr>
        <w:t>4. Kesimpulan</w:t>
      </w:r>
    </w:p>
    <w:p>
      <w:pPr>
        <w:spacing w:before="0" w:after="0" w:line="240" w:lineRule="auto"/>
        <w:jc w:val="both"/>
      </w:pPr>
      <w:r>
        <w:rPr>
          <w:rFonts w:ascii="Times New Roman" w:hAnsi="Times New Roman" w:eastAsia="Times New Roman"/>
          <w:b/>
          <w:i w:val="0"/>
          <w:sz w:val="20"/>
        </w:rPr>
        <w:t>Masalah</w:t>
      </w:r>
      <w:r>
        <w:rPr>
          <w:rFonts w:ascii="Times New Roman" w:hAnsi="Times New Roman" w:eastAsia="Times New Roman"/>
          <w:b w:val="0"/>
          <w:i w:val="0"/>
          <w:sz w:val="20"/>
        </w:rPr>
        <w:t xml:space="preserve"> yang dijawab penelitian ini adalah ketiadaan mekanisme sistematis untuk mendeteksi anomali transaksi dan menilai kualitas data PKB SAMSAT tanpa label kebenaran dan di tengah perubahan skema kode. </w:t>
      </w:r>
      <w:r>
        <w:rPr>
          <w:rFonts w:ascii="Times New Roman" w:hAnsi="Times New Roman" w:eastAsia="Times New Roman"/>
          <w:b/>
          <w:i w:val="0"/>
          <w:sz w:val="20"/>
        </w:rPr>
        <w:t>Solusi</w:t>
      </w:r>
      <w:r>
        <w:rPr>
          <w:rFonts w:ascii="Times New Roman" w:hAnsi="Times New Roman" w:eastAsia="Times New Roman"/>
          <w:b w:val="0"/>
          <w:i w:val="0"/>
          <w:sz w:val="20"/>
        </w:rPr>
        <w:t xml:space="preserve"> yang diusulkan adalah detektor hibrida tiga lapis yang memadukan sebelas aturan domain, harmonisasi pergeseran kode, dan ensemble Isolation Forest–LOF–autoencoder dengan fusi maksimum persentil. </w:t>
      </w:r>
      <w:r>
        <w:rPr>
          <w:rFonts w:ascii="Times New Roman" w:hAnsi="Times New Roman" w:eastAsia="Times New Roman"/>
          <w:b/>
          <w:i w:val="0"/>
          <w:sz w:val="20"/>
        </w:rPr>
        <w:t>Hasil</w:t>
      </w:r>
      <w:r>
        <w:rPr>
          <w:rFonts w:ascii="Times New Roman" w:hAnsi="Times New Roman" w:eastAsia="Times New Roman"/>
          <w:b w:val="0"/>
          <w:i w:val="0"/>
          <w:sz w:val="20"/>
        </w:rPr>
        <w:t xml:space="preserve"> pada 193.899 transaksi Banten 2021–2024 menunjukkan PR-AUC 0,973 dan ROC-AUC 0,996 pada uji temporal 2024, lebih tinggi daripada aturan saja (0,817) maupun detektor ML tunggal terbaik (0,862); fitur domain menaikkan PR-AUC ensemble sebesar 0,22; serta terdeteksi pengodean ulang kode status dan permohonan pada 2024 dan 5,21% transaksi yang melanggar aturan. Penelitian selanjutnya akan memvalidasi daftar prioritas bersama petugas SAMSAT untuk memperoleh label nyata, memperluas cakupan ke seluruh bulan dan wilayah Banten, serta mengembangkan pembelajaran aktif dari umpan balik petugas.</w:t>
      </w:r>
    </w:p>
    <w:p>
      <w:pPr>
        <w:spacing w:before="0" w:after="0" w:line="240" w:lineRule="auto"/>
        <w:jc w:val="both"/>
      </w:pPr>
    </w:p>
    <w:p>
      <w:pPr>
        <w:spacing w:before="0" w:after="0" w:line="240" w:lineRule="auto"/>
        <w:jc w:val="both"/>
      </w:pPr>
      <w:r>
        <w:rPr>
          <w:rFonts w:ascii="Times New Roman" w:hAnsi="Times New Roman" w:eastAsia="Times New Roman"/>
          <w:b/>
          <w:i w:val="0"/>
          <w:sz w:val="20"/>
        </w:rPr>
        <w:t>Ucapan terima kasih.</w:t>
      </w:r>
      <w:r>
        <w:rPr>
          <w:rFonts w:ascii="Times New Roman" w:hAnsi="Times New Roman" w:eastAsia="Times New Roman"/>
          <w:b w:val="0"/>
          <w:i w:val="0"/>
          <w:sz w:val="20"/>
        </w:rPr>
        <w:t xml:space="preserve"> Penulis berterima kasih kepada petugas SAMSAT di Provinsi Banten yang membantu penyediaan data untuk keperluan eksperimen. Kode, notebook Google Colab, dan tabel hasil tersedia dari penulis korespondensi.</w:t>
      </w:r>
    </w:p>
    <w:p>
      <w:pPr>
        <w:spacing w:before="0" w:after="0" w:line="240" w:lineRule="auto"/>
        <w:jc w:val="both"/>
      </w:pPr>
    </w:p>
    <w:p>
      <w:pPr>
        <w:keepNext/>
        <w:spacing w:before="0" w:after="60" w:line="240" w:lineRule="auto"/>
        <w:jc w:val="left"/>
      </w:pPr>
      <w:r>
        <w:rPr>
          <w:rFonts w:ascii="Times New Roman" w:hAnsi="Times New Roman" w:eastAsia="Times New Roman"/>
          <w:b/>
          <w:i w:val="0"/>
          <w:sz w:val="20"/>
        </w:rPr>
        <w:t>Referensi</w:t>
      </w:r>
    </w:p>
    <w:p>
      <w:pPr>
        <w:spacing w:before="0" w:after="0" w:line="240" w:lineRule="auto"/>
        <w:ind w:left="510" w:hanging="510"/>
        <w:jc w:val="both"/>
      </w:pPr>
      <w:r>
        <w:rPr>
          <w:rFonts w:ascii="Times New Roman" w:hAnsi="Times New Roman"/>
          <w:sz w:val="20"/>
        </w:rPr>
        <w:t>[1]</w:t>
        <w:tab/>
        <w:t>Republik Indonesia. Undang-Undang Nomor 1 Tahun 2022 tentang Hubungan Keuangan antara Pemerintah Pusat dan Pemerintahan Daerah. Lembaran Negara Republik Indonesia Tahun 2022 Nomor 4. Jakarta; 2022.</w:t>
      </w:r>
    </w:p>
    <w:p>
      <w:pPr>
        <w:spacing w:before="0" w:after="0" w:line="240" w:lineRule="auto"/>
        <w:ind w:left="510" w:hanging="510"/>
        <w:jc w:val="both"/>
      </w:pPr>
      <w:r>
        <w:rPr>
          <w:rFonts w:ascii="Times New Roman" w:hAnsi="Times New Roman"/>
          <w:sz w:val="20"/>
        </w:rPr>
        <w:t>[2]</w:t>
        <w:tab/>
        <w:t>Ambarwati R, Astuti M, Dijaya R, Idamayanti RF. The determinant factors in using e-Samsat services on motorized vehicle tax payment in East Java, Indonesia. Binus Business Review. 2021;12(1):53–61. doi:10.21512/bbr.v12i1.6496</w:t>
      </w:r>
    </w:p>
    <w:p>
      <w:pPr>
        <w:spacing w:before="0" w:after="0" w:line="240" w:lineRule="auto"/>
        <w:ind w:left="510" w:hanging="510"/>
        <w:jc w:val="both"/>
      </w:pPr>
      <w:r>
        <w:rPr>
          <w:rFonts w:ascii="Times New Roman" w:hAnsi="Times New Roman"/>
          <w:sz w:val="20"/>
        </w:rPr>
        <w:t>[3]</w:t>
        <w:tab/>
        <w:t>Ervina N, Junaidi J, Zulgani Z, Achmad E. Analysis of tax compliance levels for regional taxes in the provinces of Indonesia. Economies. 2025;13(12):354. doi:10.3390/economies13120354</w:t>
      </w:r>
    </w:p>
    <w:p>
      <w:pPr>
        <w:spacing w:before="0" w:after="0" w:line="240" w:lineRule="auto"/>
        <w:ind w:left="510" w:hanging="510"/>
        <w:jc w:val="both"/>
      </w:pPr>
      <w:r>
        <w:rPr>
          <w:rFonts w:ascii="Times New Roman" w:hAnsi="Times New Roman"/>
          <w:sz w:val="20"/>
        </w:rPr>
        <w:t>[4]</w:t>
        <w:tab/>
        <w:t>Kurniasari D, Ramadhani PS, Wamiliana, Warsono. Application of the artificial neural network algorithm to predict the realization of the duty tax on the name of motor vehicles in Lampung Province. Indonesian Journal of Artificial Intelligence and Data Mining. 2024;7(2):392–403. doi:10.24014/ijaidm.v7i2.29456</w:t>
      </w:r>
    </w:p>
    <w:p>
      <w:pPr>
        <w:spacing w:before="0" w:after="0" w:line="240" w:lineRule="auto"/>
        <w:ind w:left="510" w:hanging="510"/>
        <w:jc w:val="both"/>
      </w:pPr>
      <w:r>
        <w:rPr>
          <w:rFonts w:ascii="Times New Roman" w:hAnsi="Times New Roman"/>
          <w:sz w:val="20"/>
        </w:rPr>
        <w:t>[5]</w:t>
        <w:tab/>
        <w:t>Ehrlinger L, Wöß W. A survey of data quality measurement and monitoring tools. Frontiers in Big Data. 2022;5:850611. doi:10.3389/fdata.2022.850611</w:t>
      </w:r>
    </w:p>
    <w:p>
      <w:pPr>
        <w:spacing w:before="0" w:after="0" w:line="240" w:lineRule="auto"/>
        <w:ind w:left="510" w:hanging="510"/>
        <w:jc w:val="both"/>
      </w:pPr>
      <w:r>
        <w:rPr>
          <w:rFonts w:ascii="Times New Roman" w:hAnsi="Times New Roman"/>
          <w:sz w:val="20"/>
        </w:rPr>
        <w:t>[6]</w:t>
        <w:tab/>
        <w:t>Kapoor S, Narayanan A. Leakage and the reproducibility crisis in machine-learning-based science. Patterns. 2023;4(9):100804. doi:10.1016/j.patter.2023.100804</w:t>
      </w:r>
    </w:p>
    <w:p>
      <w:pPr>
        <w:spacing w:before="0" w:after="0" w:line="240" w:lineRule="auto"/>
        <w:ind w:left="510" w:hanging="510"/>
        <w:jc w:val="both"/>
      </w:pPr>
      <w:r>
        <w:rPr>
          <w:rFonts w:ascii="Times New Roman" w:hAnsi="Times New Roman"/>
          <w:sz w:val="20"/>
        </w:rPr>
        <w:t>[7]</w:t>
        <w:tab/>
        <w:t>Karamanou A, Brimos P, Kalampokis E, Tarabanis K. Exploring the quality of dynamic open government data using statistical and machine learning methods. Sensors. 2022;22(24):9684. doi:10.3390/s22249684</w:t>
      </w:r>
    </w:p>
    <w:p>
      <w:pPr>
        <w:spacing w:before="0" w:after="0" w:line="240" w:lineRule="auto"/>
        <w:ind w:left="510" w:hanging="510"/>
        <w:jc w:val="both"/>
      </w:pPr>
      <w:r>
        <w:rPr>
          <w:rFonts w:ascii="Times New Roman" w:hAnsi="Times New Roman"/>
          <w:sz w:val="20"/>
        </w:rPr>
        <w:t>[8]</w:t>
        <w:tab/>
        <w:t>Zheng Q, Xu Y, Liu H, Shi B, Wang J, Dong B. A survey of tax risk detection using data mining techniques. Engineering. 2024;34:43–59. doi:10.1016/j.eng.2023.07.014</w:t>
      </w:r>
    </w:p>
    <w:p>
      <w:pPr>
        <w:spacing w:before="0" w:after="0" w:line="240" w:lineRule="auto"/>
        <w:ind w:left="510" w:hanging="510"/>
        <w:jc w:val="both"/>
      </w:pPr>
      <w:r>
        <w:rPr>
          <w:rFonts w:ascii="Times New Roman" w:hAnsi="Times New Roman"/>
          <w:sz w:val="20"/>
        </w:rPr>
        <w:t>[9]</w:t>
        <w:tab/>
        <w:t>Battaglini M, Guiso L, Lacava C, Miller DL, Patacchini E. Refining public policies with machine learning: The case of tax auditing. Journal of Econometrics. 2025;249:105847. doi:10.1016/j.jeconom.2024.105847</w:t>
      </w:r>
    </w:p>
    <w:p>
      <w:pPr>
        <w:spacing w:before="0" w:after="0" w:line="240" w:lineRule="auto"/>
        <w:ind w:left="510" w:hanging="510"/>
        <w:jc w:val="both"/>
      </w:pPr>
      <w:r>
        <w:rPr>
          <w:rFonts w:ascii="Times New Roman" w:hAnsi="Times New Roman"/>
          <w:sz w:val="20"/>
        </w:rPr>
        <w:t>[10]</w:t>
        <w:tab/>
        <w:t>Baghdasaryan V, Davtyan H, Sarikyan A, Navasardyan Z. Improving tax audit efficiency using machine learning: The role of taxpayer's network data in fraud detection. Applied Artificial Intelligence. 2022;36(1):2012002. doi:10.1080/08839514.2021.2012002</w:t>
      </w:r>
    </w:p>
    <w:p>
      <w:pPr>
        <w:spacing w:before="0" w:after="0" w:line="240" w:lineRule="auto"/>
        <w:ind w:left="510" w:hanging="510"/>
        <w:jc w:val="both"/>
      </w:pPr>
      <w:r>
        <w:rPr>
          <w:rFonts w:ascii="Times New Roman" w:hAnsi="Times New Roman"/>
          <w:sz w:val="20"/>
        </w:rPr>
        <w:t>[11]</w:t>
        <w:tab/>
        <w:t>Belahouaoui R, Alm J. Tax fraud detection using artificial intelligence-based technologies: Trends and implications. Journal of Risk and Financial Management. 2025;18(9):502. doi:10.3390/jrfm18090502</w:t>
      </w:r>
    </w:p>
    <w:p>
      <w:pPr>
        <w:spacing w:before="0" w:after="0" w:line="240" w:lineRule="auto"/>
        <w:ind w:left="510" w:hanging="510"/>
        <w:jc w:val="both"/>
      </w:pPr>
      <w:r>
        <w:rPr>
          <w:rFonts w:ascii="Times New Roman" w:hAnsi="Times New Roman"/>
          <w:sz w:val="20"/>
        </w:rPr>
        <w:t>[12]</w:t>
        <w:tab/>
        <w:t>Yang L. Predictive modeling of tax compliance risks: A comparative study of machine learning approaches. PLoS One. 2025;20(9):e0331715. doi:10.1371/journal.pone.0331715</w:t>
      </w:r>
    </w:p>
    <w:p>
      <w:pPr>
        <w:spacing w:before="0" w:after="0" w:line="240" w:lineRule="auto"/>
        <w:ind w:left="510" w:hanging="510"/>
        <w:jc w:val="both"/>
      </w:pPr>
      <w:r>
        <w:rPr>
          <w:rFonts w:ascii="Times New Roman" w:hAnsi="Times New Roman"/>
          <w:sz w:val="20"/>
        </w:rPr>
        <w:t>[13]</w:t>
        <w:tab/>
        <w:t>Khreis M, Harb H, Dia S. A machine learning framework for predicting tax payment arrears: Comparative model evaluation and Shapley-value interpretability. Journal of Risk and Financial Management. 2026;19(9):723. doi:10.3390/jrfm19090723</w:t>
      </w:r>
    </w:p>
    <w:p>
      <w:pPr>
        <w:spacing w:before="0" w:after="0" w:line="240" w:lineRule="auto"/>
        <w:ind w:left="510" w:hanging="510"/>
        <w:jc w:val="both"/>
      </w:pPr>
      <w:r>
        <w:rPr>
          <w:rFonts w:ascii="Times New Roman" w:hAnsi="Times New Roman"/>
          <w:sz w:val="20"/>
        </w:rPr>
        <w:t>[14]</w:t>
        <w:tab/>
        <w:t>Savić M, Atanasijević J, Jakovetić D, Krejić N. Tax evasion risk management using a hybrid unsupervised outlier detection method. Expert Systems with Applications. 2022;193:116409. doi:10.1016/j.eswa.2021.116409</w:t>
      </w:r>
    </w:p>
    <w:p>
      <w:pPr>
        <w:spacing w:before="0" w:after="0" w:line="240" w:lineRule="auto"/>
        <w:ind w:left="510" w:hanging="510"/>
        <w:jc w:val="both"/>
      </w:pPr>
      <w:r>
        <w:rPr>
          <w:rFonts w:ascii="Times New Roman" w:hAnsi="Times New Roman"/>
          <w:sz w:val="20"/>
        </w:rPr>
        <w:t>[15]</w:t>
        <w:tab/>
        <w:t>Hilal W, Gadsden SA, Yawney J. Financial fraud: A review of anomaly detection techniques and recent advances. Expert Systems with Applications. 2022;193:116429. doi:10.1016/j.eswa.2021.116429</w:t>
      </w:r>
    </w:p>
    <w:p>
      <w:pPr>
        <w:spacing w:before="0" w:after="0" w:line="240" w:lineRule="auto"/>
        <w:ind w:left="510" w:hanging="510"/>
        <w:jc w:val="both"/>
      </w:pPr>
      <w:r>
        <w:rPr>
          <w:rFonts w:ascii="Times New Roman" w:hAnsi="Times New Roman"/>
          <w:sz w:val="20"/>
        </w:rPr>
        <w:t>[16]</w:t>
        <w:tab/>
        <w:t>Hariri S, Kind MC, Brunner RJ. Extended isolation forest. IEEE Transactions on Knowledge and Data Engineering. 2021;33(4):1479–89. doi:10.1109/TKDE.2019.2947676</w:t>
      </w:r>
    </w:p>
    <w:p>
      <w:pPr>
        <w:spacing w:before="0" w:after="0" w:line="240" w:lineRule="auto"/>
        <w:ind w:left="510" w:hanging="510"/>
        <w:jc w:val="both"/>
      </w:pPr>
      <w:r>
        <w:rPr>
          <w:rFonts w:ascii="Times New Roman" w:hAnsi="Times New Roman"/>
          <w:sz w:val="20"/>
        </w:rPr>
        <w:t>[17]</w:t>
        <w:tab/>
        <w:t>Xu H, Pang G, Wang Y, Wang Y. Deep isolation forest for anomaly detection. IEEE Transactions on Knowledge and Data Engineering. 2023;35(12):12591–604. doi:10.1109/TKDE.2023.3270293</w:t>
      </w:r>
    </w:p>
    <w:p>
      <w:pPr>
        <w:spacing w:before="0" w:after="0" w:line="240" w:lineRule="auto"/>
        <w:ind w:left="510" w:hanging="510"/>
        <w:jc w:val="both"/>
      </w:pPr>
      <w:r>
        <w:rPr>
          <w:rFonts w:ascii="Times New Roman" w:hAnsi="Times New Roman"/>
          <w:sz w:val="20"/>
        </w:rPr>
        <w:t>[18]</w:t>
        <w:tab/>
        <w:t>Alghushairy O, Alsini R, Soule T, Ma X. A review of local outlier factor algorithms for outlier detection in big data streams. Big Data and Cognitive Computing. 2021;5(1):1. doi:10.3390/bdcc5010001</w:t>
      </w:r>
    </w:p>
    <w:p>
      <w:pPr>
        <w:spacing w:before="0" w:after="0" w:line="240" w:lineRule="auto"/>
        <w:ind w:left="510" w:hanging="510"/>
        <w:jc w:val="both"/>
      </w:pPr>
      <w:r>
        <w:rPr>
          <w:rFonts w:ascii="Times New Roman" w:hAnsi="Times New Roman"/>
          <w:sz w:val="20"/>
        </w:rPr>
        <w:t>[19]</w:t>
        <w:tab/>
        <w:t>Pang G, Shen C, Cao L, van den Hengel A. Deep learning for anomaly detection: A review. ACM Computing Surveys. 2021;54(2):38. doi:10.1145/3439950</w:t>
      </w:r>
    </w:p>
    <w:p>
      <w:pPr>
        <w:spacing w:before="0" w:after="0" w:line="240" w:lineRule="auto"/>
        <w:ind w:left="510" w:hanging="510"/>
        <w:jc w:val="both"/>
      </w:pPr>
      <w:r>
        <w:rPr>
          <w:rFonts w:ascii="Times New Roman" w:hAnsi="Times New Roman"/>
          <w:sz w:val="20"/>
        </w:rPr>
        <w:t>[20]</w:t>
        <w:tab/>
        <w:t>Ruff L, Kauffmann JR, Vandermeulen RA, Montavon G, Samek W, Kloft M, Dietterich TG, Müller KR. A unifying review of deep and shallow anomaly detection. Proceedings of the IEEE. 2021;109(5):756–95. doi:10.1109/JPROC.2021.3052449</w:t>
      </w:r>
    </w:p>
    <w:p>
      <w:pPr>
        <w:spacing w:before="0" w:after="0" w:line="240" w:lineRule="auto"/>
        <w:ind w:left="510" w:hanging="510"/>
        <w:jc w:val="both"/>
      </w:pPr>
      <w:r>
        <w:rPr>
          <w:rFonts w:ascii="Times New Roman" w:hAnsi="Times New Roman"/>
          <w:sz w:val="20"/>
        </w:rPr>
        <w:t>[21]</w:t>
        <w:tab/>
        <w:t>Westerski A, Kanagasabai R, Shaham E, Narayanan A, Wong J, Singh M. Explainable anomaly detection for procurement fraud identification—lessons from practical deployments. International Transactions in Operational Research. 2021;28(6):3276–302. doi:10.1111/itor.12968</w:t>
      </w:r>
    </w:p>
    <w:p>
      <w:pPr>
        <w:spacing w:before="0" w:after="0" w:line="240" w:lineRule="auto"/>
        <w:ind w:left="510" w:hanging="510"/>
        <w:jc w:val="both"/>
      </w:pPr>
      <w:r>
        <w:rPr>
          <w:rFonts w:ascii="Times New Roman" w:hAnsi="Times New Roman"/>
          <w:sz w:val="20"/>
        </w:rPr>
        <w:t>[22]</w:t>
        <w:tab/>
        <w:t>Li Z, Zhu Y, van Leeuwen M. A survey on explainable anomaly detection. ACM Transactions on Knowledge Discovery from Data. 2024;18(1):23. doi:10.1145/3609333</w:t>
      </w:r>
    </w:p>
    <w:p>
      <w:pPr>
        <w:spacing w:before="0" w:after="0" w:line="240" w:lineRule="auto"/>
        <w:ind w:left="510" w:hanging="510"/>
        <w:jc w:val="both"/>
      </w:pPr>
      <w:r>
        <w:rPr>
          <w:rFonts w:ascii="Times New Roman" w:hAnsi="Times New Roman"/>
          <w:sz w:val="20"/>
        </w:rPr>
        <w:t>[23]</w:t>
        <w:tab/>
        <w:t>Carcillo F, Le Borgne YA, Caelen O, Kessaci Y, Oblé F, Bontempi G. Combining unsupervised and supervised learning in credit card fraud detection. Information Sciences. 2021;557:317–31. doi:10.1016/j.ins.2019.05.042</w:t>
      </w:r>
    </w:p>
    <w:p>
      <w:pPr>
        <w:spacing w:before="0" w:after="0" w:line="240" w:lineRule="auto"/>
        <w:ind w:left="510" w:hanging="510"/>
        <w:jc w:val="both"/>
      </w:pPr>
      <w:r>
        <w:rPr>
          <w:rFonts w:ascii="Times New Roman" w:hAnsi="Times New Roman"/>
          <w:sz w:val="20"/>
        </w:rPr>
        <w:t>[24]</w:t>
        <w:tab/>
        <w:t>Bakumenko A, Elragal A. Detecting anomalies in financial data using machine learning algorithms. Systems. 2022;10(5):130. doi:10.3390/systems10050130</w:t>
      </w:r>
    </w:p>
    <w:p>
      <w:pPr>
        <w:spacing w:before="0" w:after="0" w:line="240" w:lineRule="auto"/>
        <w:ind w:left="510" w:hanging="510"/>
        <w:jc w:val="both"/>
      </w:pPr>
      <w:r>
        <w:rPr>
          <w:rFonts w:ascii="Times New Roman" w:hAnsi="Times New Roman"/>
          <w:sz w:val="20"/>
        </w:rPr>
        <w:t>[25]</w:t>
        <w:tab/>
        <w:t>Steinbuss G, Böhm K. Benchmarking unsupervised outlier detection with realistic synthetic data. ACM Transactions on Knowledge Discovery from Data. 2021;15(4):65. doi:10.1145/3441453</w:t>
      </w:r>
    </w:p>
    <w:p>
      <w:pPr>
        <w:spacing w:before="0" w:after="0" w:line="240" w:lineRule="auto"/>
        <w:ind w:left="510" w:hanging="510"/>
        <w:jc w:val="both"/>
      </w:pPr>
      <w:r>
        <w:rPr>
          <w:rFonts w:ascii="Times New Roman" w:hAnsi="Times New Roman"/>
          <w:sz w:val="20"/>
        </w:rPr>
        <w:t>[26]</w:t>
        <w:tab/>
        <w:t>Bayram F, Ahmed BS, Kassler A. From concept drift to model degradation: An overview on performance-aware drift detectors. Knowledge-Based Systems. 2022;245:108632. doi:10.1016/j.knosys.2022.108632</w:t>
      </w:r>
    </w:p>
    <w:p>
      <w:pPr>
        <w:spacing w:before="0" w:after="0" w:line="240" w:lineRule="auto"/>
        <w:ind w:left="510" w:hanging="510"/>
        <w:jc w:val="both"/>
      </w:pPr>
      <w:r>
        <w:rPr>
          <w:rFonts w:ascii="Times New Roman" w:hAnsi="Times New Roman"/>
          <w:sz w:val="20"/>
        </w:rPr>
        <w:t>[27]</w:t>
        <w:tab/>
        <w:t>Shwartz-Ziv R, Armon A. Tabular data: Deep learning is not all you need. Information Fusion. 2022;81:84–90. doi:10.1016/j.inffus.2021.11.011</w:t>
      </w:r>
    </w:p>
    <w:p>
      <w:pPr>
        <w:spacing w:before="0" w:after="0" w:line="240" w:lineRule="auto"/>
        <w:ind w:left="510" w:hanging="510"/>
        <w:jc w:val="both"/>
      </w:pPr>
      <w:r>
        <w:rPr>
          <w:rFonts w:ascii="Times New Roman" w:hAnsi="Times New Roman"/>
          <w:sz w:val="20"/>
        </w:rPr>
        <w:t>[28]</w:t>
        <w:tab/>
        <w:t>Borisov V, Leemann T, Seßler K, Haug J, Pawelczyk M, Kasneci G. Deep neural networks and tabular data: A survey. IEEE Transactions on Neural Networks and Learning Systems. 2024;35(6):7499–519. doi:10.1109/TNNLS.2022.3229161</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985" w:right="1134" w:gutter="0" w:header="567" w:top="2835" w:footer="397" w:bottom="1418"/>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windows-1252"/>
    <w:family w:val="swiss"/>
    <w:pitch w:val="variable"/>
  </w:font>
  <w:font w:name="Cambria">
    <w:charset w:val="00" w:characterSet="windows-1252"/>
    <w:family w:val="roman"/>
    <w:pitch w:val="variable"/>
  </w:font>
  <w:font w:name="Tahoma">
    <w:charset w:val="00" w:characterSet="windows-1252"/>
    <w:family w:val="swiss"/>
    <w:pitch w:val="variable"/>
  </w:font>
  <w:font w:name="Courier New">
    <w:charset w:val="00" w:characterSet="windows-1252"/>
    <w:family w:val="modern"/>
    <w:pitch w:val="default"/>
  </w:font>
  <w:font w:name="Liberation Serif">
    <w:altName w:val="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360"/>
      <w:jc w:val="end"/>
      <w:rPr>
        <w:rFonts w:ascii="Cambria" w:hAnsi="Cambria" w:cs="Cambria"/>
        <w:color w:val="808080"/>
        <w:sz w:val="18"/>
        <w:szCs w:val="18"/>
      </w:rPr>
    </w:pPr>
    <w:r>
      <w:rPr>
        <w:rFonts w:cs="Cambria" w:ascii="Cambria" w:hAnsi="Cambria"/>
        <w:color w:val="808080"/>
        <w:sz w:val="18"/>
        <w:szCs w:val="18"/>
      </w:rPr>
      <mc:AlternateContent>
        <mc:Choice Requires="wps">
          <w:drawing>
            <wp:anchor behindDoc="1" distT="0" distB="0" distL="114935" distR="114935" simplePos="0" locked="0" layoutInCell="1" allowOverlap="1" relativeHeight="6">
              <wp:simplePos x="0" y="0"/>
              <wp:positionH relativeFrom="column">
                <wp:posOffset>4445</wp:posOffset>
              </wp:positionH>
              <wp:positionV relativeFrom="paragraph">
                <wp:posOffset>134620</wp:posOffset>
              </wp:positionV>
              <wp:extent cx="5580380" cy="1270"/>
              <wp:effectExtent l="635" t="5080" r="635" b="5080"/>
              <wp:wrapNone/>
              <wp:docPr id="4" name=""/>
              <a:graphic xmlns:a="http://schemas.openxmlformats.org/drawingml/2006/main">
                <a:graphicData uri="http://schemas.microsoft.com/office/word/2010/wordprocessingShape">
                  <wps:wsp>
                    <wps:cNvCnPr/>
                    <wps:spPr>
                      <a:xfrm flipH="1">
                        <a:off x="0" y="0"/>
                        <a:ext cx="5580720" cy="1440"/>
                      </a:xfrm>
                      <a:prstGeom prst="straightConnector1">
                        <a:avLst/>
                      </a:prstGeom>
                      <a:ln w="9360">
                        <a:solidFill>
                          <a:srgbClr val="7f7f7f"/>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0.35pt;margin-top:10.6pt;width:439.3pt;height:0.05pt;flip:x" type="_x0000_t32">
              <v:stroke color="#7f7f7f" weight="9360" joinstyle="miter" endcap="flat"/>
              <v:fill o:detectmouseclick="t" on="false"/>
              <w10:wrap type="none"/>
            </v:shape>
          </w:pict>
        </mc:Fallback>
      </mc:AlternateContent>
      <mc:AlternateContent>
        <mc:Choice Requires="wps">
          <w:drawing>
            <wp:anchor behindDoc="1" distT="0" distB="0" distL="114935" distR="114935" simplePos="0" locked="0" layoutInCell="1" allowOverlap="1" relativeHeight="7">
              <wp:simplePos x="0" y="0"/>
              <wp:positionH relativeFrom="column">
                <wp:posOffset>-5715</wp:posOffset>
              </wp:positionH>
              <wp:positionV relativeFrom="paragraph">
                <wp:posOffset>167005</wp:posOffset>
              </wp:positionV>
              <wp:extent cx="5580380" cy="1270"/>
              <wp:effectExtent l="635" t="14605" r="635" b="14605"/>
              <wp:wrapNone/>
              <wp:docPr id="5" name=""/>
              <a:graphic xmlns:a="http://schemas.openxmlformats.org/drawingml/2006/main">
                <a:graphicData uri="http://schemas.microsoft.com/office/word/2010/wordprocessingShape">
                  <wps:wsp>
                    <wps:cNvCnPr/>
                    <wps:spPr>
                      <a:xfrm flipH="1">
                        <a:off x="0" y="0"/>
                        <a:ext cx="5580720" cy="1440"/>
                      </a:xfrm>
                      <a:prstGeom prst="straightConnector1">
                        <a:avLst/>
                      </a:prstGeom>
                      <a:ln w="28440">
                        <a:solidFill>
                          <a:srgbClr val="7f7f7f"/>
                        </a:solidFill>
                        <a:miter/>
                      </a:ln>
                    </wps:spPr>
                    <wps:bodyPr/>
                  </wps:wsp>
                </a:graphicData>
              </a:graphic>
            </wp:anchor>
          </w:drawing>
        </mc:Choice>
        <mc:Fallback>
          <w:pict>
            <v:shape id="shape_0" stroked="t" o:allowincell="f" style="position:absolute;margin-left:-0.45pt;margin-top:13.15pt;width:439.3pt;height:0.05pt;flip:x" type="_x0000_t32">
              <v:stroke color="#7f7f7f" weight="28440" joinstyle="miter" endcap="flat"/>
              <v:fill o:detectmouseclick="t" on="false"/>
              <w10:wrap type="none"/>
            </v:shape>
          </w:pict>
        </mc:Fallback>
      </mc:AlternateContent>
      <w:fldChar w:fldCharType="begin"/>
    </w:r>
    <w:r>
      <w:rPr>
        <w:sz w:val="18"/>
        <w:szCs w:val="18"/>
        <w:rFonts w:cs="Cambria" w:ascii="Cambria" w:hAnsi="Cambria"/>
        <w:color w:val="808080"/>
      </w:rPr>
      <w:instrText xml:space="preserve"> PAGE </w:instrText>
    </w:r>
    <w:r>
      <w:rPr>
        <w:sz w:val="18"/>
        <w:szCs w:val="18"/>
        <w:rFonts w:cs="Cambria" w:ascii="Cambria" w:hAnsi="Cambria"/>
        <w:color w:val="808080"/>
      </w:rPr>
      <w:fldChar w:fldCharType="separate"/>
    </w:r>
    <w:r>
      <w:rPr>
        <w:sz w:val="18"/>
        <w:szCs w:val="18"/>
        <w:rFonts w:cs="Cambria" w:ascii="Cambria" w:hAnsi="Cambria"/>
        <w:color w:val="808080"/>
      </w:rPr>
      <w:t>2</w:t>
    </w:r>
    <w:r>
      <w:rPr>
        <w:sz w:val="18"/>
        <w:szCs w:val="18"/>
        <w:rFonts w:cs="Cambria" w:ascii="Cambria" w:hAnsi="Cambria"/>
        <w:color w:val="808080"/>
      </w:rPr>
      <w:fldChar w:fldCharType="end"/>
    </w:r>
  </w:p>
  <w:p>
    <w:pPr>
      <w:pStyle w:val="Footer"/>
      <w:rPr>
        <w:rFonts w:ascii="Cambria" w:hAnsi="Cambria" w:cs="Cambria"/>
        <w:color w:val="808080"/>
        <w:sz w:val="6"/>
        <w:szCs w:val="18"/>
        <w:shd w:fill="FBFBF3" w:val="clear"/>
      </w:rPr>
    </w:pPr>
    <w:r>
      <w:rPr>
        <w:rFonts w:cs="Cambria" w:ascii="Cambria" w:hAnsi="Cambria"/>
        <w:b/>
        <w:color w:val="808080"/>
        <w:sz w:val="18"/>
        <w:szCs w:val="18"/>
        <w:lang w:val="en-US"/>
      </w:rPr>
      <w:t>Jurnal Inovatif : Inovasi Teknologi Informasi dan Informatika SINTA 5 Accreditation</w:t>
    </w:r>
  </w:p>
  <w:p>
    <w:pPr>
      <w:pStyle w:val="Footer"/>
      <w:rPr/>
    </w:pPr>
    <w:r>
      <w:rPr>
        <w:rFonts w:cs="Cambria" w:ascii="Cambria" w:hAnsi="Cambria"/>
        <w:i/>
        <w:color w:val="808080"/>
        <w:sz w:val="18"/>
        <w:szCs w:val="18"/>
        <w:lang w:val="id-ID" w:eastAsia="en-US"/>
      </w:rPr>
      <w:drawing>
        <wp:inline distT="0" distB="0" distL="0" distR="0">
          <wp:extent cx="621030" cy="198120"/>
          <wp:effectExtent l="0" t="0" r="0" b="0"/>
          <wp:docPr id="6"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title=""/>
                  <pic:cNvPicPr>
                    <a:picLocks noChangeAspect="1" noChangeArrowheads="1"/>
                  </pic:cNvPicPr>
                </pic:nvPicPr>
                <pic:blipFill>
                  <a:blip r:embed="rId1"/>
                  <a:srcRect l="-43" t="-122" r="-43" b="-122"/>
                  <a:stretch>
                    <a:fillRect/>
                  </a:stretch>
                </pic:blipFill>
                <pic:spPr bwMode="auto">
                  <a:xfrm>
                    <a:off x="0" y="0"/>
                    <a:ext cx="621030" cy="198120"/>
                  </a:xfrm>
                  <a:prstGeom prst="rect">
                    <a:avLst/>
                  </a:prstGeom>
                </pic:spPr>
              </pic:pic>
            </a:graphicData>
          </a:graphic>
        </wp:inline>
      </w:drawing>
    </w:r>
    <w:r>
      <w:rPr>
        <w:rFonts w:eastAsia="Cambria" w:cs="Cambria" w:ascii="Cambria" w:hAnsi="Cambria"/>
        <w:b/>
        <w:color w:val="808080"/>
        <w:sz w:val="12"/>
        <w:szCs w:val="12"/>
      </w:rPr>
      <w:t xml:space="preserve"> </w:t>
    </w:r>
    <w:r>
      <w:rPr>
        <w:rFonts w:cs="Cambria" w:ascii="Cambria" w:hAnsi="Cambria"/>
        <w:b/>
        <w:color w:val="808080"/>
        <w:sz w:val="12"/>
        <w:szCs w:val="12"/>
        <w:lang w:val="en-US"/>
      </w:rPr>
      <w:t>Inovatif</w:t>
    </w:r>
    <w:r>
      <w:rPr>
        <w:rFonts w:cs="Cambria" w:ascii="Cambria" w:hAnsi="Cambria"/>
        <w:b/>
        <w:color w:val="808080"/>
        <w:sz w:val="12"/>
        <w:szCs w:val="12"/>
      </w:rPr>
      <w:t xml:space="preserve"> </w:t>
    </w:r>
    <w:r>
      <w:rPr>
        <w:rFonts w:cs="Cambria" w:ascii="Cambria" w:hAnsi="Cambria"/>
        <w:color w:val="808080"/>
        <w:sz w:val="12"/>
        <w:szCs w:val="12"/>
      </w:rPr>
      <w:t>is licensed under a Creative Commons Attribution-NonCommercial 4.0 International License (CC BY-NC 4.0).</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360"/>
      <w:jc w:val="end"/>
      <w:rPr>
        <w:rFonts w:ascii="Cambria" w:hAnsi="Cambria" w:cs="Cambria"/>
        <w:color w:val="808080"/>
        <w:sz w:val="18"/>
        <w:szCs w:val="18"/>
      </w:rPr>
    </w:pPr>
    <w:r>
      <w:rPr>
        <w:rFonts w:cs="Cambria" w:ascii="Cambria" w:hAnsi="Cambria"/>
        <w:color w:val="808080"/>
        <w:sz w:val="18"/>
        <w:szCs w:val="18"/>
      </w:rPr>
      <mc:AlternateContent>
        <mc:Choice Requires="wps">
          <w:drawing>
            <wp:anchor behindDoc="1" distT="0" distB="0" distL="114935" distR="114935" simplePos="0" locked="0" layoutInCell="1" allowOverlap="1" relativeHeight="10">
              <wp:simplePos x="0" y="0"/>
              <wp:positionH relativeFrom="column">
                <wp:posOffset>4445</wp:posOffset>
              </wp:positionH>
              <wp:positionV relativeFrom="paragraph">
                <wp:posOffset>134620</wp:posOffset>
              </wp:positionV>
              <wp:extent cx="5580380" cy="1270"/>
              <wp:effectExtent l="635" t="5080" r="635" b="5080"/>
              <wp:wrapNone/>
              <wp:docPr id="7" name=""/>
              <a:graphic xmlns:a="http://schemas.openxmlformats.org/drawingml/2006/main">
                <a:graphicData uri="http://schemas.microsoft.com/office/word/2010/wordprocessingShape">
                  <wps:wsp>
                    <wps:cNvCnPr/>
                    <wps:spPr>
                      <a:xfrm flipH="1">
                        <a:off x="0" y="0"/>
                        <a:ext cx="5580720" cy="1440"/>
                      </a:xfrm>
                      <a:prstGeom prst="straightConnector1">
                        <a:avLst/>
                      </a:prstGeom>
                      <a:ln w="9360">
                        <a:solidFill>
                          <a:srgbClr val="7f7f7f"/>
                        </a:solidFill>
                        <a:miter/>
                      </a:ln>
                    </wps:spPr>
                    <wps:bodyPr/>
                  </wps:wsp>
                </a:graphicData>
              </a:graphic>
            </wp:anchor>
          </w:drawing>
        </mc:Choice>
        <mc:Fallback>
          <w:pict>
            <v:shape id="shape_0" stroked="t" o:allowincell="f" style="position:absolute;margin-left:0.35pt;margin-top:10.6pt;width:439.3pt;height:0.05pt;flip:x" type="_x0000_t32">
              <v:stroke color="#7f7f7f" weight="9360" joinstyle="miter" endcap="flat"/>
              <v:fill o:detectmouseclick="t" on="false"/>
              <w10:wrap type="none"/>
            </v:shape>
          </w:pict>
        </mc:Fallback>
      </mc:AlternateContent>
      <mc:AlternateContent>
        <mc:Choice Requires="wps">
          <w:drawing>
            <wp:anchor behindDoc="1" distT="0" distB="0" distL="114935" distR="114935" simplePos="0" locked="0" layoutInCell="1" allowOverlap="1" relativeHeight="11">
              <wp:simplePos x="0" y="0"/>
              <wp:positionH relativeFrom="column">
                <wp:posOffset>-5715</wp:posOffset>
              </wp:positionH>
              <wp:positionV relativeFrom="paragraph">
                <wp:posOffset>167005</wp:posOffset>
              </wp:positionV>
              <wp:extent cx="5580380" cy="1270"/>
              <wp:effectExtent l="635" t="14605" r="635" b="14605"/>
              <wp:wrapNone/>
              <wp:docPr id="8" name=""/>
              <a:graphic xmlns:a="http://schemas.openxmlformats.org/drawingml/2006/main">
                <a:graphicData uri="http://schemas.microsoft.com/office/word/2010/wordprocessingShape">
                  <wps:wsp>
                    <wps:cNvCnPr/>
                    <wps:spPr>
                      <a:xfrm flipH="1">
                        <a:off x="0" y="0"/>
                        <a:ext cx="5580720" cy="1440"/>
                      </a:xfrm>
                      <a:prstGeom prst="straightConnector1">
                        <a:avLst/>
                      </a:prstGeom>
                      <a:ln w="28440">
                        <a:solidFill>
                          <a:srgbClr val="7f7f7f"/>
                        </a:solidFill>
                        <a:miter/>
                      </a:ln>
                    </wps:spPr>
                    <wps:bodyPr/>
                  </wps:wsp>
                </a:graphicData>
              </a:graphic>
            </wp:anchor>
          </w:drawing>
        </mc:Choice>
        <mc:Fallback>
          <w:pict>
            <v:shape id="shape_0" stroked="t" o:allowincell="f" style="position:absolute;margin-left:-0.45pt;margin-top:13.15pt;width:439.3pt;height:0.05pt;flip:x" type="_x0000_t32">
              <v:stroke color="#7f7f7f" weight="28440" joinstyle="miter" endcap="flat"/>
              <v:fill o:detectmouseclick="t" on="false"/>
              <w10:wrap type="none"/>
            </v:shape>
          </w:pict>
        </mc:Fallback>
      </mc:AlternateContent>
      <w:fldChar w:fldCharType="begin"/>
    </w:r>
    <w:r>
      <w:rPr>
        <w:sz w:val="18"/>
        <w:szCs w:val="18"/>
        <w:rFonts w:cs="Cambria" w:ascii="Cambria" w:hAnsi="Cambria"/>
        <w:color w:val="808080"/>
      </w:rPr>
      <w:instrText xml:space="preserve"> PAGE </w:instrText>
    </w:r>
    <w:r>
      <w:rPr>
        <w:sz w:val="18"/>
        <w:szCs w:val="18"/>
        <w:rFonts w:cs="Cambria" w:ascii="Cambria" w:hAnsi="Cambria"/>
        <w:color w:val="808080"/>
      </w:rPr>
      <w:fldChar w:fldCharType="separate"/>
    </w:r>
    <w:r>
      <w:rPr>
        <w:sz w:val="18"/>
        <w:szCs w:val="18"/>
        <w:rFonts w:cs="Cambria" w:ascii="Cambria" w:hAnsi="Cambria"/>
        <w:color w:val="808080"/>
      </w:rPr>
      <w:t>3</w:t>
    </w:r>
    <w:r>
      <w:rPr>
        <w:sz w:val="18"/>
        <w:szCs w:val="18"/>
        <w:rFonts w:cs="Cambria" w:ascii="Cambria" w:hAnsi="Cambria"/>
        <w:color w:val="808080"/>
      </w:rPr>
      <w:fldChar w:fldCharType="end"/>
    </w:r>
  </w:p>
  <w:p>
    <w:pPr>
      <w:pStyle w:val="Footer"/>
      <w:rPr>
        <w:rFonts w:ascii="Cambria" w:hAnsi="Cambria" w:cs="Cambria"/>
        <w:color w:val="808080"/>
        <w:sz w:val="6"/>
        <w:szCs w:val="18"/>
        <w:shd w:fill="FBFBF3" w:val="clear"/>
      </w:rPr>
    </w:pPr>
    <w:r>
      <w:rPr>
        <w:rFonts w:cs="Cambria" w:ascii="Cambria" w:hAnsi="Cambria"/>
        <w:b/>
        <w:color w:val="808080"/>
        <w:sz w:val="18"/>
        <w:szCs w:val="18"/>
        <w:lang w:val="en-US"/>
      </w:rPr>
      <w:t>Jurnal Inovatif : Inovasi Teknologi Informasi dan Informatika SINTA 5 Accreditation</w:t>
    </w:r>
  </w:p>
  <w:p>
    <w:pPr>
      <w:pStyle w:val="Footer"/>
      <w:rPr>
        <w:rFonts w:ascii="Cambria" w:hAnsi="Cambria" w:cs="Cambria"/>
        <w:color w:val="808080"/>
        <w:sz w:val="12"/>
        <w:szCs w:val="12"/>
      </w:rPr>
    </w:pPr>
    <w:r>
      <w:rPr>
        <w:rFonts w:cs="Cambria" w:ascii="Cambria" w:hAnsi="Cambria"/>
        <w:i/>
        <w:color w:val="808080"/>
        <w:sz w:val="18"/>
        <w:szCs w:val="18"/>
        <w:lang w:val="id-ID" w:eastAsia="en-US"/>
      </w:rPr>
      <w:drawing>
        <wp:inline distT="0" distB="0" distL="0" distR="0">
          <wp:extent cx="621030" cy="198120"/>
          <wp:effectExtent l="0" t="0" r="0" b="0"/>
          <wp:docPr id="9"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descr="" title=""/>
                  <pic:cNvPicPr>
                    <a:picLocks noChangeAspect="1" noChangeArrowheads="1"/>
                  </pic:cNvPicPr>
                </pic:nvPicPr>
                <pic:blipFill>
                  <a:blip r:embed="rId1"/>
                  <a:srcRect l="-43" t="-122" r="-43" b="-122"/>
                  <a:stretch>
                    <a:fillRect/>
                  </a:stretch>
                </pic:blipFill>
                <pic:spPr bwMode="auto">
                  <a:xfrm>
                    <a:off x="0" y="0"/>
                    <a:ext cx="621030" cy="198120"/>
                  </a:xfrm>
                  <a:prstGeom prst="rect">
                    <a:avLst/>
                  </a:prstGeom>
                </pic:spPr>
              </pic:pic>
            </a:graphicData>
          </a:graphic>
        </wp:inline>
      </w:drawing>
    </w:r>
    <w:r>
      <w:rPr>
        <w:rFonts w:eastAsia="Cambria" w:cs="Cambria" w:ascii="Cambria" w:hAnsi="Cambria"/>
        <w:b/>
        <w:color w:val="808080"/>
        <w:sz w:val="12"/>
        <w:szCs w:val="12"/>
      </w:rPr>
      <w:t xml:space="preserve"> </w:t>
    </w:r>
    <w:r>
      <w:rPr>
        <w:rFonts w:cs="Cambria" w:ascii="Cambria" w:hAnsi="Cambria"/>
        <w:b/>
        <w:color w:val="808080"/>
        <w:sz w:val="12"/>
        <w:szCs w:val="12"/>
        <w:lang w:val="en-US"/>
      </w:rPr>
      <w:t>Inovatif</w:t>
    </w:r>
    <w:r>
      <w:rPr>
        <w:rFonts w:cs="Cambria" w:ascii="Cambria" w:hAnsi="Cambria"/>
        <w:b/>
        <w:color w:val="808080"/>
        <w:sz w:val="12"/>
        <w:szCs w:val="12"/>
      </w:rPr>
      <w:t xml:space="preserve"> </w:t>
    </w:r>
    <w:r>
      <w:rPr>
        <w:rFonts w:cs="Cambria" w:ascii="Cambria" w:hAnsi="Cambria"/>
        <w:color w:val="808080"/>
        <w:sz w:val="12"/>
        <w:szCs w:val="12"/>
      </w:rPr>
      <w:t>is licensed under a Creative Commons Attribution-NonCommercial 4.0 International License (CC BY-NC 4.0).</w:t>
    </w:r>
  </w:p>
  <w:p>
    <w:pPr>
      <w:pStyle w:val="Footer"/>
      <w:rPr>
        <w:rFonts w:ascii="Cambria" w:hAnsi="Cambria" w:cs="Cambria"/>
        <w:color w:val="808080"/>
        <w:sz w:val="12"/>
        <w:szCs w:val="12"/>
      </w:rPr>
    </w:pPr>
    <w:r>
      <w:rPr>
        <w:rFonts w:cs="Cambria" w:ascii="Cambria" w:hAnsi="Cambria"/>
        <w:color w:val="808080"/>
        <w:sz w:val="12"/>
        <w:szCs w:val="12"/>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360"/>
      <w:jc w:val="end"/>
      <w:rPr>
        <w:rFonts w:ascii="Cambria" w:hAnsi="Cambria" w:cs="Cambria"/>
        <w:color w:val="808080"/>
        <w:sz w:val="18"/>
        <w:szCs w:val="18"/>
      </w:rPr>
    </w:pPr>
    <w:r>
      <w:rPr>
        <w:rFonts w:cs="Cambria" w:ascii="Cambria" w:hAnsi="Cambria"/>
        <w:color w:val="808080"/>
        <w:sz w:val="18"/>
        <w:szCs w:val="18"/>
      </w:rPr>
      <mc:AlternateContent>
        <mc:Choice Requires="wps">
          <w:drawing>
            <wp:anchor behindDoc="1" distT="0" distB="0" distL="114935" distR="114935" simplePos="0" locked="0" layoutInCell="1" allowOverlap="1" relativeHeight="8">
              <wp:simplePos x="0" y="0"/>
              <wp:positionH relativeFrom="column">
                <wp:posOffset>4445</wp:posOffset>
              </wp:positionH>
              <wp:positionV relativeFrom="paragraph">
                <wp:posOffset>134620</wp:posOffset>
              </wp:positionV>
              <wp:extent cx="5580380" cy="1270"/>
              <wp:effectExtent l="635" t="5080" r="635" b="5080"/>
              <wp:wrapNone/>
              <wp:docPr id="10" name=""/>
              <a:graphic xmlns:a="http://schemas.openxmlformats.org/drawingml/2006/main">
                <a:graphicData uri="http://schemas.microsoft.com/office/word/2010/wordprocessingShape">
                  <wps:wsp>
                    <wps:cNvCnPr/>
                    <wps:spPr>
                      <a:xfrm flipH="1">
                        <a:off x="0" y="0"/>
                        <a:ext cx="5580720" cy="1440"/>
                      </a:xfrm>
                      <a:prstGeom prst="straightConnector1">
                        <a:avLst/>
                      </a:prstGeom>
                      <a:ln w="9360">
                        <a:solidFill>
                          <a:srgbClr val="7f7f7f"/>
                        </a:solidFill>
                        <a:miter/>
                      </a:ln>
                    </wps:spPr>
                    <wps:bodyPr/>
                  </wps:wsp>
                </a:graphicData>
              </a:graphic>
            </wp:anchor>
          </w:drawing>
        </mc:Choice>
        <mc:Fallback>
          <w:pict>
            <v:shape id="shape_0" stroked="t" o:allowincell="f" style="position:absolute;margin-left:0.35pt;margin-top:10.6pt;width:439.3pt;height:0.05pt;flip:x" type="_x0000_t32">
              <v:stroke color="#7f7f7f" weight="9360" joinstyle="miter" endcap="flat"/>
              <v:fill o:detectmouseclick="t" on="false"/>
              <w10:wrap type="none"/>
            </v:shape>
          </w:pict>
        </mc:Fallback>
      </mc:AlternateContent>
      <mc:AlternateContent>
        <mc:Choice Requires="wps">
          <w:drawing>
            <wp:anchor behindDoc="1" distT="0" distB="0" distL="114935" distR="114935" simplePos="0" locked="0" layoutInCell="1" allowOverlap="1" relativeHeight="9">
              <wp:simplePos x="0" y="0"/>
              <wp:positionH relativeFrom="column">
                <wp:posOffset>-5715</wp:posOffset>
              </wp:positionH>
              <wp:positionV relativeFrom="paragraph">
                <wp:posOffset>167005</wp:posOffset>
              </wp:positionV>
              <wp:extent cx="5580380" cy="1270"/>
              <wp:effectExtent l="635" t="14605" r="635" b="14605"/>
              <wp:wrapNone/>
              <wp:docPr id="11" name=""/>
              <a:graphic xmlns:a="http://schemas.openxmlformats.org/drawingml/2006/main">
                <a:graphicData uri="http://schemas.microsoft.com/office/word/2010/wordprocessingShape">
                  <wps:wsp>
                    <wps:cNvCnPr/>
                    <wps:spPr>
                      <a:xfrm flipH="1">
                        <a:off x="0" y="0"/>
                        <a:ext cx="5580720" cy="1440"/>
                      </a:xfrm>
                      <a:prstGeom prst="straightConnector1">
                        <a:avLst/>
                      </a:prstGeom>
                      <a:ln w="28440">
                        <a:solidFill>
                          <a:srgbClr val="7f7f7f"/>
                        </a:solidFill>
                        <a:miter/>
                      </a:ln>
                    </wps:spPr>
                    <wps:bodyPr/>
                  </wps:wsp>
                </a:graphicData>
              </a:graphic>
            </wp:anchor>
          </w:drawing>
        </mc:Choice>
        <mc:Fallback>
          <w:pict>
            <v:shape id="shape_0" stroked="t" o:allowincell="f" style="position:absolute;margin-left:-0.45pt;margin-top:13.15pt;width:439.3pt;height:0.05pt;flip:x" type="_x0000_t32">
              <v:stroke color="#7f7f7f" weight="28440" joinstyle="miter" endcap="flat"/>
              <v:fill o:detectmouseclick="t" on="false"/>
              <w10:wrap type="none"/>
            </v:shape>
          </w:pict>
        </mc:Fallback>
      </mc:AlternateContent>
      <w:fldChar w:fldCharType="begin"/>
    </w:r>
    <w:r>
      <w:rPr>
        <w:sz w:val="18"/>
        <w:szCs w:val="18"/>
        <w:rFonts w:cs="Cambria" w:ascii="Cambria" w:hAnsi="Cambria"/>
        <w:color w:val="808080"/>
      </w:rPr>
      <w:instrText xml:space="preserve"> PAGE </w:instrText>
    </w:r>
    <w:r>
      <w:rPr>
        <w:sz w:val="18"/>
        <w:szCs w:val="18"/>
        <w:rFonts w:cs="Cambria" w:ascii="Cambria" w:hAnsi="Cambria"/>
        <w:color w:val="808080"/>
      </w:rPr>
      <w:fldChar w:fldCharType="separate"/>
    </w:r>
    <w:r>
      <w:rPr>
        <w:sz w:val="18"/>
        <w:szCs w:val="18"/>
        <w:rFonts w:cs="Cambria" w:ascii="Cambria" w:hAnsi="Cambria"/>
        <w:color w:val="808080"/>
      </w:rPr>
      <w:t>1</w:t>
    </w:r>
    <w:r>
      <w:rPr>
        <w:sz w:val="18"/>
        <w:szCs w:val="18"/>
        <w:rFonts w:cs="Cambria" w:ascii="Cambria" w:hAnsi="Cambria"/>
        <w:color w:val="808080"/>
      </w:rPr>
      <w:fldChar w:fldCharType="end"/>
    </w:r>
  </w:p>
  <w:p>
    <w:pPr>
      <w:pStyle w:val="Footer"/>
      <w:rPr>
        <w:rFonts w:ascii="Cambria" w:hAnsi="Cambria" w:cs="Cambria"/>
        <w:color w:val="808080"/>
        <w:sz w:val="6"/>
        <w:szCs w:val="18"/>
        <w:shd w:fill="FBFBF3" w:val="clear"/>
      </w:rPr>
    </w:pPr>
    <w:r>
      <w:rPr>
        <w:rFonts w:cs="Cambria" w:ascii="Cambria" w:hAnsi="Cambria"/>
        <w:b/>
        <w:color w:val="808080"/>
        <w:sz w:val="18"/>
        <w:szCs w:val="18"/>
        <w:lang w:val="en-US"/>
      </w:rPr>
      <w:t>Jurnal Inovatif : Inovasi Teknologi Informasi dan Informatika SINTA 5 Accreditation</w:t>
    </w:r>
  </w:p>
  <w:p>
    <w:pPr>
      <w:pStyle w:val="Footer"/>
      <w:rPr/>
    </w:pPr>
    <w:r>
      <w:rPr>
        <w:rFonts w:cs="Cambria" w:ascii="Cambria" w:hAnsi="Cambria"/>
        <w:i/>
        <w:color w:val="808080"/>
        <w:sz w:val="18"/>
        <w:szCs w:val="18"/>
        <w:lang w:val="id-ID" w:eastAsia="en-US"/>
      </w:rPr>
      <w:drawing>
        <wp:inline distT="0" distB="0" distL="0" distR="0">
          <wp:extent cx="621030" cy="198120"/>
          <wp:effectExtent l="0" t="0" r="0" b="0"/>
          <wp:docPr id="12"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 title=""/>
                  <pic:cNvPicPr>
                    <a:picLocks noChangeAspect="1" noChangeArrowheads="1"/>
                  </pic:cNvPicPr>
                </pic:nvPicPr>
                <pic:blipFill>
                  <a:blip r:embed="rId1"/>
                  <a:srcRect l="-43" t="-122" r="-43" b="-122"/>
                  <a:stretch>
                    <a:fillRect/>
                  </a:stretch>
                </pic:blipFill>
                <pic:spPr bwMode="auto">
                  <a:xfrm>
                    <a:off x="0" y="0"/>
                    <a:ext cx="621030" cy="198120"/>
                  </a:xfrm>
                  <a:prstGeom prst="rect">
                    <a:avLst/>
                  </a:prstGeom>
                </pic:spPr>
              </pic:pic>
            </a:graphicData>
          </a:graphic>
        </wp:inline>
      </w:drawing>
    </w:r>
    <w:r>
      <w:rPr>
        <w:rFonts w:eastAsia="Cambria" w:cs="Cambria" w:ascii="Cambria" w:hAnsi="Cambria"/>
        <w:b/>
        <w:color w:val="808080"/>
        <w:sz w:val="12"/>
        <w:szCs w:val="12"/>
      </w:rPr>
      <w:t xml:space="preserve"> </w:t>
    </w:r>
    <w:r>
      <w:rPr>
        <w:rFonts w:cs="Cambria" w:ascii="Cambria" w:hAnsi="Cambria"/>
        <w:b/>
        <w:color w:val="808080"/>
        <w:sz w:val="12"/>
        <w:szCs w:val="12"/>
        <w:lang w:val="en-US"/>
      </w:rPr>
      <w:t>Inovatif</w:t>
    </w:r>
    <w:r>
      <w:rPr>
        <w:rFonts w:cs="Cambria" w:ascii="Cambria" w:hAnsi="Cambria"/>
        <w:b/>
        <w:color w:val="808080"/>
        <w:sz w:val="12"/>
        <w:szCs w:val="12"/>
      </w:rPr>
      <w:t xml:space="preserve"> </w:t>
    </w:r>
    <w:r>
      <w:rPr>
        <w:rFonts w:cs="Cambria" w:ascii="Cambria" w:hAnsi="Cambria"/>
        <w:color w:val="808080"/>
        <w:sz w:val="12"/>
        <w:szCs w:val="12"/>
      </w:rPr>
      <w:t>is licensed under a Creative Commons Attribution-NonCommercial 4.0 International License (CC BY-NC 4.0).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b/>
        <w:szCs w:val="18"/>
      </w:rPr>
    </w:pPr>
    <w:r>
      <w:rPr>
        <w:b/>
        <w:szCs w:val="18"/>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Times New Roman" w:hAnsi="Times New Roman" w:cs="Times New Roman"/>
        <w:i/>
        <w:i/>
        <w:iCs/>
        <w:sz w:val="26"/>
        <w:szCs w:val="26"/>
        <w:lang w:val="en-US"/>
      </w:rPr>
    </w:pPr>
    <w:r>
      <w:rPr>
        <w:rFonts w:cs="Times New Roman" w:ascii="Times New Roman" w:hAnsi="Times New Roman"/>
        <w:i/>
        <w:iCs/>
        <w:sz w:val="26"/>
        <w:szCs w:val="26"/>
        <w:lang w:val="en-US"/>
      </w:rPr>
    </w:r>
  </w:p>
  <w:p>
    <w:pPr>
      <w:pStyle w:val="Header"/>
      <w:rPr>
        <w:rFonts w:ascii="Times New Roman" w:hAnsi="Times New Roman" w:cs="Times New Roman"/>
        <w:bCs/>
        <w:i/>
        <w:i/>
        <w:iCs/>
        <w:sz w:val="26"/>
        <w:szCs w:val="26"/>
        <w:lang w:val="en-US"/>
      </w:rPr>
    </w:pPr>
    <w:r>
      <w:rPr>
        <w:rFonts w:cs="Times New Roman" w:ascii="Times New Roman" w:hAnsi="Times New Roman"/>
        <w:i/>
        <w:iCs/>
        <w:sz w:val="26"/>
        <w:szCs w:val="26"/>
        <w:lang w:val="en-US"/>
      </w:rPr>
      <w:t>Jurnal Inovatif : Inovasi Teknologi Informasi dan Informatika</w:t>
    </w:r>
    <w:r>
      <w:rPr>
        <w:rFonts w:cs="Times New Roman" w:ascii="Times New Roman" w:hAnsi="Times New Roman"/>
        <w:i/>
        <w:iCs/>
        <w:sz w:val="26"/>
        <w:szCs w:val="26"/>
      </w:rPr>
      <w:t xml:space="preserve">, </w:t>
    </w:r>
    <w:r>
      <w:rPr>
        <w:rFonts w:cs="Times New Roman" w:ascii="Times New Roman" w:hAnsi="Times New Roman"/>
        <w:i/>
        <w:iCs/>
        <w:sz w:val="26"/>
        <w:szCs w:val="26"/>
        <w:lang w:val="en-US"/>
      </w:rPr>
      <w:t>5</w:t>
    </w:r>
    <w:r>
      <w:rPr>
        <w:rFonts w:cs="Times New Roman" w:ascii="Times New Roman" w:hAnsi="Times New Roman"/>
        <w:i/>
        <w:iCs/>
        <w:sz w:val="26"/>
        <w:szCs w:val="26"/>
      </w:rPr>
      <w:t xml:space="preserve"> (</w:t>
    </w:r>
    <w:r>
      <w:rPr>
        <w:rFonts w:cs="Times New Roman" w:ascii="Times New Roman" w:hAnsi="Times New Roman"/>
        <w:i/>
        <w:iCs/>
        <w:sz w:val="26"/>
        <w:szCs w:val="26"/>
        <w:lang w:val="en-US"/>
      </w:rPr>
      <w:t>1</w:t>
    </w:r>
    <w:r>
      <w:rPr>
        <w:rFonts w:cs="Times New Roman" w:ascii="Times New Roman" w:hAnsi="Times New Roman"/>
        <w:i/>
        <w:iCs/>
        <w:sz w:val="26"/>
        <w:szCs w:val="26"/>
      </w:rPr>
      <w:t>) (202</w:t>
    </w:r>
    <w:r>
      <w:rPr>
        <w:rFonts w:cs="Times New Roman" w:ascii="Times New Roman" w:hAnsi="Times New Roman"/>
        <w:i/>
        <w:iCs/>
        <w:sz w:val="26"/>
        <w:szCs w:val="26"/>
        <w:lang w:val="en-US"/>
      </w:rPr>
      <w:t>2</w:t>
    </w:r>
    <w:r>
      <w:rPr>
        <w:rFonts w:cs="Times New Roman" w:ascii="Times New Roman" w:hAnsi="Times New Roman"/>
        <w:i/>
        <w:iCs/>
        <w:sz w:val="26"/>
        <w:szCs w:val="26"/>
      </w:rPr>
      <w:t xml:space="preserve">) </w:t>
    </w:r>
    <w:r>
      <w:rPr>
        <w:rFonts w:cs="Times New Roman" w:ascii="Times New Roman" w:hAnsi="Times New Roman"/>
        <w:i/>
        <w:iCs/>
        <w:sz w:val="26"/>
        <w:szCs w:val="26"/>
        <w:lang w:val="en-US"/>
      </w:rPr>
      <w:t>xx</w:t>
    </w:r>
    <w:r>
      <w:rPr>
        <w:rFonts w:cs="Times New Roman" w:ascii="Times New Roman" w:hAnsi="Times New Roman"/>
        <w:i/>
        <w:iCs/>
        <w:sz w:val="26"/>
        <w:szCs w:val="26"/>
      </w:rPr>
      <w:t>-</w:t>
    </w:r>
    <w:r>
      <w:rPr>
        <w:rFonts w:cs="Times New Roman" w:ascii="Times New Roman" w:hAnsi="Times New Roman"/>
        <w:i/>
        <w:iCs/>
        <w:sz w:val="26"/>
        <w:szCs w:val="26"/>
        <w:lang w:val="en-US"/>
      </w:rPr>
      <w:t>xx</w:t>
    </w:r>
  </w:p>
  <w:p>
    <w:pPr>
      <w:pStyle w:val="Header"/>
      <w:rPr>
        <w:rFonts w:ascii="Times New Roman" w:hAnsi="Times New Roman" w:cs="Times New Roman"/>
        <w:lang w:val="en-US" w:eastAsia="en-US"/>
      </w:rPr>
    </w:pPr>
    <w:r>
      <w:drawing>
        <wp:anchor behindDoc="1" distT="0" distB="0" distL="114935" distR="114935" simplePos="0" locked="0" layoutInCell="1" allowOverlap="1" relativeHeight="13">
          <wp:simplePos x="0" y="0"/>
          <wp:positionH relativeFrom="column">
            <wp:posOffset>4224020</wp:posOffset>
          </wp:positionH>
          <wp:positionV relativeFrom="paragraph">
            <wp:posOffset>7620</wp:posOffset>
          </wp:positionV>
          <wp:extent cx="626110" cy="879475"/>
          <wp:effectExtent l="0" t="0" r="0" b="0"/>
          <wp:wrapNone/>
          <wp:docPr id="2"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title=""/>
                  <pic:cNvPicPr>
                    <a:picLocks noChangeAspect="1" noChangeArrowheads="1"/>
                  </pic:cNvPicPr>
                </pic:nvPicPr>
                <pic:blipFill>
                  <a:blip r:embed="rId1"/>
                  <a:srcRect l="-7" t="-5" r="-7" b="-5"/>
                  <a:stretch>
                    <a:fillRect/>
                  </a:stretch>
                </pic:blipFill>
                <pic:spPr bwMode="auto">
                  <a:xfrm>
                    <a:off x="0" y="0"/>
                    <a:ext cx="626110" cy="879475"/>
                  </a:xfrm>
                  <a:prstGeom prst="rect">
                    <a:avLst/>
                  </a:prstGeom>
                </pic:spPr>
              </pic:pic>
            </a:graphicData>
          </a:graphic>
        </wp:anchor>
      </w:drawing>
    </w:r>
    <w:r>
      <w:rPr>
        <w:rFonts w:cs="Times New Roman" w:ascii="Times New Roman" w:hAnsi="Times New Roman"/>
        <w:lang w:val="en-US" w:eastAsia="en-US"/>
      </w:rPr>
      <w:t xml:space="preserve">Journal homepage: </w:t>
    </w:r>
    <w:hyperlink r:id="rId2">
      <w:r>
        <w:rPr>
          <w:rStyle w:val="Hyperlink"/>
          <w:rFonts w:cs="Times New Roman" w:ascii="Times New Roman" w:hAnsi="Times New Roman"/>
          <w:lang w:val="en-US" w:eastAsia="en-US"/>
        </w:rPr>
        <w:t>http://ejournal.uika-bogor.ac.id/index.php/INOVA-TIF/index</w:t>
      </w:r>
    </w:hyperlink>
  </w:p>
  <w:p>
    <w:pPr>
      <w:pStyle w:val="Header"/>
      <w:rPr>
        <w:rStyle w:val="PageNumber"/>
        <w:rFonts w:ascii="Times New Roman" w:hAnsi="Times New Roman" w:eastAsia="MS Mincho;ＭＳ 明朝" w:cs="Times New Roman"/>
        <w:lang w:val="en-US"/>
      </w:rPr>
    </w:pPr>
    <w:r>
      <w:rPr>
        <w:rFonts w:cs="Times New Roman" w:ascii="Times New Roman" w:hAnsi="Times New Roman"/>
        <w:lang w:val="en-US" w:eastAsia="en-US"/>
      </w:rPr>
      <w:t xml:space="preserve">E-ISSN : </w:t>
    </w:r>
    <w:hyperlink r:id="rId3" w:tgtFrame="_blank">
      <w:r>
        <w:rPr>
          <w:rStyle w:val="Hyperlink"/>
          <w:rFonts w:cs="Times New Roman" w:ascii="Times New Roman" w:hAnsi="Times New Roman"/>
          <w:color w:val="0D3D6B"/>
          <w:sz w:val="18"/>
          <w:szCs w:val="18"/>
          <w:shd w:fill="FFFFFF" w:val="clear"/>
        </w:rPr>
        <w:t>2654-5519</w:t>
      </w:r>
    </w:hyperlink>
    <w:r>
      <w:rPr>
        <w:rFonts w:cs="Times New Roman" w:ascii="Times New Roman" w:hAnsi="Times New Roman"/>
        <w:lang w:val="en-US" w:eastAsia="en-US"/>
      </w:rPr>
      <w:t xml:space="preserve">. P-ISSN : </w:t>
    </w:r>
    <w:hyperlink r:id="rId4" w:tgtFrame="_blank">
      <w:r>
        <w:rPr>
          <w:rStyle w:val="Hyperlink"/>
          <w:rFonts w:cs="Times New Roman" w:ascii="Times New Roman" w:hAnsi="Times New Roman"/>
          <w:color w:val="0D3D6B"/>
          <w:sz w:val="18"/>
          <w:szCs w:val="18"/>
          <w:shd w:fill="FFFFFF" w:val="clear"/>
        </w:rPr>
        <w:t>2654-553</w:t>
      </w:r>
    </w:hyperlink>
    <w:r>
      <w:rPr>
        <w:rFonts w:cs="Times New Roman" w:ascii="Times New Roman" w:hAnsi="Times New Roman"/>
        <w:lang w:val="en-US"/>
      </w:rPr>
      <w:t xml:space="preserve"> | DOI : </w:t>
    </w:r>
    <w:hyperlink r:id="rId5" w:tgtFrame="_blank">
      <w:r>
        <w:rPr>
          <w:rStyle w:val="Hyperlink"/>
          <w:rFonts w:cs="Times New Roman" w:ascii="Times New Roman" w:hAnsi="Times New Roman"/>
          <w:color w:val="0D3D6B"/>
          <w:sz w:val="18"/>
          <w:szCs w:val="18"/>
          <w:shd w:fill="FFFFFF" w:val="clear"/>
        </w:rPr>
        <w:t>10.32832/inovatif</w:t>
      </w:r>
    </w:hyperlink>
  </w:p>
  <w:p>
    <w:pPr>
      <w:pStyle w:val="Header"/>
      <w:rPr>
        <w:rFonts w:ascii="Times New Roman" w:hAnsi="Times New Roman" w:cs="Times New Roman"/>
      </w:rPr>
    </w:pPr>
    <w:r>
      <w:rPr>
        <w:rFonts w:cs="Times New Roman" w:ascii="Times New Roman" w:hAnsi="Times New Roman"/>
      </w:rPr>
      <w:t xml:space="preserve">Published by: </w:t>
    </w:r>
    <w:hyperlink r:id="rId6">
      <w:r>
        <w:rPr>
          <w:rStyle w:val="Hyperlink"/>
          <w:rFonts w:cs="Times New Roman" w:ascii="Times New Roman" w:hAnsi="Times New Roman"/>
        </w:rPr>
        <w:t>Universitas Ibn Khaldun</w:t>
      </w:r>
    </w:hyperlink>
  </w:p>
  <w:p>
    <w:pPr>
      <w:pStyle w:val="Header"/>
      <w:rPr>
        <w:rFonts w:ascii="Times New Roman" w:hAnsi="Times New Roman" w:cs="Times New Roman"/>
      </w:rPr>
    </w:pPr>
    <w:r>
      <w:rPr>
        <w:rFonts w:cs="Times New Roman" w:ascii="Times New Roman" w:hAnsi="Times New Roman"/>
      </w:rPr>
    </w:r>
  </w:p>
  <w:p>
    <w:pPr>
      <w:pStyle w:val="Header"/>
      <w:rPr>
        <w:rFonts w:ascii="Times New Roman" w:hAnsi="Times New Roman" w:cs="Times New Roman"/>
      </w:rPr>
    </w:pPr>
    <w:r>
      <w:rPr>
        <w:rFonts w:cs="Times New Roman" w:ascii="Times New Roman" w:hAnsi="Times New Roman"/>
      </w:rPr>
    </w:r>
  </w:p>
  <w:p>
    <w:pPr>
      <w:pStyle w:val="Header"/>
      <w:rPr>
        <w:rFonts w:ascii="Times New Roman" w:hAnsi="Times New Roman" w:cs="Times New Roman"/>
      </w:rPr>
    </w:pPr>
    <w:r>
      <w:rPr>
        <w:rFonts w:cs="Times New Roman" w:ascii="Times New Roman" w:hAnsi="Times New Roman"/>
      </w:rPr>
    </w:r>
  </w:p>
  <w:p>
    <w:pPr>
      <w:pStyle w:val="Header"/>
      <w:rPr>
        <w:rFonts w:ascii="Times New Roman" w:hAnsi="Times New Roman" w:cs="Times New Roman"/>
      </w:rPr>
    </w:pPr>
    <w:r>
      <mc:AlternateContent>
        <mc:Choice Requires="wps">
          <w:drawing>
            <wp:anchor behindDoc="1" distT="0" distB="0" distL="114935" distR="114935" simplePos="0" locked="0" layoutInCell="1" allowOverlap="1" relativeHeight="12">
              <wp:simplePos x="0" y="0"/>
              <wp:positionH relativeFrom="column">
                <wp:posOffset>-12700</wp:posOffset>
              </wp:positionH>
              <wp:positionV relativeFrom="paragraph">
                <wp:posOffset>52705</wp:posOffset>
              </wp:positionV>
              <wp:extent cx="5570855" cy="0"/>
              <wp:effectExtent l="0" t="12700" r="0" b="32385"/>
              <wp:wrapNone/>
              <wp:docPr id="3" name="Straight Connector 13"/>
              <a:graphic xmlns:a="http://schemas.openxmlformats.org/drawingml/2006/main">
                <a:graphicData uri="http://schemas.microsoft.com/office/word/2010/wordprocessingShape">
                  <wps:wsp>
                    <wps:cNvSpPr/>
                    <wps:spPr>
                      <a:xfrm>
                        <a:off x="0" y="0"/>
                        <a:ext cx="5571000" cy="0"/>
                      </a:xfrm>
                      <a:prstGeom prst="line">
                        <a:avLst/>
                      </a:prstGeom>
                      <a:ln w="25560">
                        <a:solidFill>
                          <a:srgbClr val="4f81bd"/>
                        </a:solidFill>
                        <a:miter/>
                      </a:ln>
                    </wps:spPr>
                    <wps:style>
                      <a:lnRef idx="0"/>
                      <a:fillRef idx="0"/>
                      <a:effectRef idx="0"/>
                      <a:fontRef idx="minor"/>
                    </wps:style>
                    <wps:bodyPr/>
                  </wps:wsp>
                </a:graphicData>
              </a:graphic>
            </wp:anchor>
          </w:drawing>
        </mc:Choice>
        <mc:Fallback>
          <w:pict>
            <v:line id="shape_0" from="-1pt,4.15pt" to="437.6pt,4.15pt" ID="Straight Connector 13" stroked="t" o:allowincell="f" style="position:absolute">
              <v:stroke color="#4f81bd" weight="25560" joinstyle="miter" endcap="flat"/>
              <v:fill o:detectmouseclick="t" on="false"/>
              <v:shadow on="t" obscured="f" color="black"/>
              <w10:wrap type="none"/>
            </v:line>
          </w:pict>
        </mc:Fallback>
      </mc:AlternateContent>
    </w:r>
    <w:r>
      <w:rPr>
        <w:rFonts w:cs="Times New Roman" w:ascii="Times New Roman" w:hAnsi="Times New Roman"/>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mirrorMargins/>
  <w:defaultTabStop w:val="720"/>
  <w:autoHyphenation w:val="true"/>
  <w:evenAndOddHeaders/>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Arial"/>
      <w:color w:val="auto"/>
      <w:sz w:val="22"/>
      <w:szCs w:val="22"/>
      <w:lang w:val="id-ID" w:bidi="ar-SA" w:eastAsia="zh-CN"/>
    </w:rPr>
  </w:style>
  <w:style w:type="paragraph" w:styleId="Heading1">
    <w:name w:val="Heading 1"/>
    <w:basedOn w:val="Normal"/>
    <w:next w:val="Normal"/>
    <w:qFormat/>
    <w:pPr>
      <w:keepNext w:val="true"/>
      <w:keepLines/>
      <w:numPr>
        <w:ilvl w:val="0"/>
        <w:numId w:val="1"/>
      </w:numPr>
      <w:spacing w:before="240" w:after="0"/>
      <w:outlineLvl w:val="0"/>
    </w:pPr>
    <w:rPr>
      <w:rFonts w:ascii="Cambria" w:hAnsi="Cambria" w:cs="Times New Roman"/>
      <w:color w:val="365F91"/>
      <w:sz w:val="32"/>
      <w:szCs w:val="32"/>
      <w:lang w:val="en-US"/>
    </w:rPr>
  </w:style>
  <w:style w:type="paragraph" w:styleId="Heading2">
    <w:name w:val="Heading 2"/>
    <w:basedOn w:val="Normal"/>
    <w:next w:val="Normal"/>
    <w:qFormat/>
    <w:pPr>
      <w:keepNext w:val="true"/>
      <w:keepLines/>
      <w:numPr>
        <w:ilvl w:val="1"/>
        <w:numId w:val="1"/>
      </w:numPr>
      <w:spacing w:before="200" w:after="0"/>
      <w:outlineLvl w:val="1"/>
    </w:pPr>
    <w:rPr>
      <w:rFonts w:ascii="Cambria" w:hAnsi="Cambria" w:cs="Times New Roman"/>
      <w:b/>
      <w:bCs/>
      <w:color w:val="4F81BD"/>
      <w:sz w:val="26"/>
      <w:szCs w:val="26"/>
      <w:lang w:val="en-US"/>
    </w:rPr>
  </w:style>
  <w:style w:type="paragraph" w:styleId="Heading3">
    <w:name w:val="Heading 3"/>
    <w:basedOn w:val="Normal"/>
    <w:next w:val="Normal"/>
    <w:qFormat/>
    <w:pPr>
      <w:keepNext w:val="true"/>
      <w:keepLines/>
      <w:numPr>
        <w:ilvl w:val="2"/>
        <w:numId w:val="1"/>
      </w:numPr>
      <w:spacing w:before="200" w:after="0"/>
      <w:outlineLvl w:val="2"/>
    </w:pPr>
    <w:rPr>
      <w:rFonts w:ascii="Cambria" w:hAnsi="Cambria" w:cs="Times New Roman"/>
      <w:b/>
      <w:bCs/>
      <w:color w:val="4F81BD"/>
      <w:sz w:val="20"/>
      <w:szCs w:val="20"/>
      <w:lang w:val="en-US"/>
    </w:rPr>
  </w:style>
  <w:style w:type="character" w:styleId="WW8Num1z0">
    <w:name w:val="WW8Num1z0"/>
    <w:qFormat/>
    <w:rPr>
      <w:i w:val="false"/>
    </w:rPr>
  </w:style>
  <w:style w:type="character" w:styleId="WW8Num2z0">
    <w:name w:val="WW8Num2z0"/>
    <w:qFormat/>
    <w:rPr>
      <w:i w:val="false"/>
    </w:rPr>
  </w:style>
  <w:style w:type="character" w:styleId="WW8Num2z1">
    <w:name w:val="WW8Num2z1"/>
    <w:qFormat/>
    <w:rPr>
      <w:b/>
      <w:i w:val="false"/>
    </w:rPr>
  </w:style>
  <w:style w:type="character" w:styleId="WW8Num2z2">
    <w:name w:val="WW8Num2z2"/>
    <w:qFormat/>
    <w:rPr/>
  </w:style>
  <w:style w:type="character" w:styleId="DefaultParagraphFont">
    <w:name w:val="Default Paragraph Font"/>
    <w:qFormat/>
    <w:rPr/>
  </w:style>
  <w:style w:type="character" w:styleId="Heading1Char">
    <w:name w:val="Heading 1 Char"/>
    <w:qFormat/>
    <w:rPr>
      <w:rFonts w:ascii="Cambria" w:hAnsi="Cambria" w:eastAsia="Times New Roman" w:cs="Times New Roman"/>
      <w:color w:val="365F91"/>
      <w:sz w:val="32"/>
      <w:szCs w:val="32"/>
    </w:rPr>
  </w:style>
  <w:style w:type="character" w:styleId="Heading3Char">
    <w:name w:val="Heading 3 Char"/>
    <w:qFormat/>
    <w:rPr>
      <w:rFonts w:ascii="Cambria" w:hAnsi="Cambria" w:eastAsia="Times New Roman" w:cs="Times New Roman"/>
      <w:b/>
      <w:bCs/>
      <w:color w:val="4F81BD"/>
    </w:rPr>
  </w:style>
  <w:style w:type="character" w:styleId="BalloonTextChar">
    <w:name w:val="Balloon Text Char"/>
    <w:qFormat/>
    <w:rPr>
      <w:rFonts w:ascii="Tahoma" w:hAnsi="Tahoma" w:cs="Tahoma"/>
      <w:sz w:val="16"/>
      <w:szCs w:val="16"/>
    </w:rPr>
  </w:style>
  <w:style w:type="character" w:styleId="CommentReference">
    <w:name w:val="Comment Reference"/>
    <w:qFormat/>
    <w:rPr>
      <w:rFonts w:cs="Times New Roman"/>
      <w:sz w:val="16"/>
      <w:szCs w:val="16"/>
    </w:rPr>
  </w:style>
  <w:style w:type="character" w:styleId="CommentTextChar">
    <w:name w:val="Comment Text Char"/>
    <w:qFormat/>
    <w:rPr>
      <w:rFonts w:cs="Times New Roman"/>
      <w:sz w:val="20"/>
      <w:szCs w:val="20"/>
    </w:rPr>
  </w:style>
  <w:style w:type="character" w:styleId="CommentSubjectChar">
    <w:name w:val="Comment Subject Char"/>
    <w:qFormat/>
    <w:rPr>
      <w:rFonts w:cs="Times New Roman"/>
      <w:b/>
      <w:bCs/>
      <w:sz w:val="20"/>
      <w:szCs w:val="20"/>
    </w:rPr>
  </w:style>
  <w:style w:type="character" w:styleId="HeaderChar">
    <w:name w:val="Header Char"/>
    <w:qFormat/>
    <w:rPr>
      <w:rFonts w:cs="Times New Roman"/>
    </w:rPr>
  </w:style>
  <w:style w:type="character" w:styleId="FooterChar">
    <w:name w:val="Footer Char"/>
    <w:qFormat/>
    <w:rPr>
      <w:rFonts w:cs="Times New Roman"/>
    </w:rPr>
  </w:style>
  <w:style w:type="character" w:styleId="FootnoteTextChar">
    <w:name w:val="Footnote Text Char"/>
    <w:qFormat/>
    <w:rPr>
      <w:rFonts w:cs="Times New Roman"/>
      <w:sz w:val="20"/>
      <w:szCs w:val="20"/>
    </w:rPr>
  </w:style>
  <w:style w:type="character" w:styleId="FootnoteCharacters">
    <w:name w:val="Footnote Characters"/>
    <w:qFormat/>
    <w:rPr>
      <w:rFonts w:cs="Times New Roman"/>
      <w:vertAlign w:val="superscript"/>
    </w:rPr>
  </w:style>
  <w:style w:type="character" w:styleId="Hyperlink">
    <w:name w:val="Hyperlink"/>
    <w:rPr>
      <w:rFonts w:cs="Times New Roman"/>
      <w:color w:val="0000FF"/>
      <w:u w:val="single"/>
    </w:rPr>
  </w:style>
  <w:style w:type="character" w:styleId="fontstyle01">
    <w:name w:val="fontstyle01"/>
    <w:qFormat/>
    <w:rPr>
      <w:rFonts w:ascii="Times New Roman" w:hAnsi="Times New Roman" w:cs="Times New Roman"/>
      <w:b w:val="false"/>
      <w:bCs w:val="false"/>
      <w:i w:val="false"/>
      <w:iCs w:val="false"/>
      <w:color w:val="000000"/>
      <w:sz w:val="20"/>
      <w:szCs w:val="20"/>
    </w:rPr>
  </w:style>
  <w:style w:type="character" w:styleId="TitleChar">
    <w:name w:val="Title Char"/>
    <w:qFormat/>
    <w:rPr>
      <w:rFonts w:ascii="Times New Roman" w:hAnsi="Times New Roman" w:cs="Times New Roman"/>
      <w:b/>
      <w:sz w:val="24"/>
      <w:szCs w:val="20"/>
      <w:lang w:val="en-US"/>
    </w:rPr>
  </w:style>
  <w:style w:type="character" w:styleId="BodyTextChar">
    <w:name w:val="Body Text Char"/>
    <w:qFormat/>
    <w:rPr>
      <w:rFonts w:ascii="Times New Roman" w:hAnsi="Times New Roman" w:cs="Times New Roman"/>
      <w:sz w:val="24"/>
      <w:szCs w:val="20"/>
      <w:lang w:val="en-US"/>
    </w:rPr>
  </w:style>
  <w:style w:type="character" w:styleId="BodyText2Char">
    <w:name w:val="Body Text 2 Char"/>
    <w:qFormat/>
    <w:rPr>
      <w:rFonts w:ascii="Times New Roman" w:hAnsi="Times New Roman" w:cs="Times New Roman"/>
      <w:sz w:val="24"/>
      <w:szCs w:val="20"/>
      <w:lang w:val="en-US"/>
    </w:rPr>
  </w:style>
  <w:style w:type="character" w:styleId="Strong">
    <w:name w:val="Strong"/>
    <w:qFormat/>
    <w:rPr>
      <w:b/>
      <w:bCs/>
    </w:rPr>
  </w:style>
  <w:style w:type="character" w:styleId="Heading2Char">
    <w:name w:val="Heading 2 Char"/>
    <w:qFormat/>
    <w:rPr>
      <w:rFonts w:ascii="Cambria" w:hAnsi="Cambria" w:eastAsia="Times New Roman" w:cs="Times New Roman"/>
      <w:b/>
      <w:bCs/>
      <w:color w:val="4F81BD"/>
      <w:sz w:val="26"/>
      <w:szCs w:val="26"/>
    </w:rPr>
  </w:style>
  <w:style w:type="character" w:styleId="ListParagraphChar">
    <w:name w:val="List Paragraph Char"/>
    <w:qFormat/>
    <w:rPr>
      <w:rFonts w:cs="Arial"/>
    </w:rPr>
  </w:style>
  <w:style w:type="character" w:styleId="WW-InternetLink">
    <w:name w:val="WW-Internet Link"/>
    <w:qFormat/>
    <w:rPr>
      <w:color w:val="000080"/>
      <w:u w:val="single"/>
    </w:rPr>
  </w:style>
  <w:style w:type="character" w:styleId="HTMLPreformattedChar">
    <w:name w:val="HTML Preformatted Char"/>
    <w:qFormat/>
    <w:rPr>
      <w:rFonts w:ascii="Courier New" w:hAnsi="Courier New" w:cs="Courier New"/>
      <w:lang w:val="en-US"/>
    </w:rPr>
  </w:style>
  <w:style w:type="character" w:styleId="BodyTextIndentChar">
    <w:name w:val="Body Text Indent Char"/>
    <w:qFormat/>
    <w:rPr>
      <w:rFonts w:cs="Arial"/>
      <w:sz w:val="22"/>
      <w:szCs w:val="22"/>
    </w:rPr>
  </w:style>
  <w:style w:type="character" w:styleId="DefaultChar">
    <w:name w:val="Default Char"/>
    <w:qFormat/>
    <w:rPr>
      <w:rFonts w:ascii="Times New Roman" w:hAnsi="Times New Roman" w:cs="Times New Roman"/>
      <w:color w:val="000000"/>
      <w:sz w:val="24"/>
      <w:szCs w:val="24"/>
      <w:lang w:val="en-US" w:bidi="ar-SA"/>
    </w:rPr>
  </w:style>
  <w:style w:type="character" w:styleId="TextChar1">
    <w:name w:val="Text Char1"/>
    <w:qFormat/>
    <w:rPr>
      <w:rFonts w:ascii="Times New Roman" w:hAnsi="Times New Roman" w:eastAsia="MS Mincho;ＭＳ 明朝" w:cs="Times New Roman"/>
      <w:lang w:val="en-US"/>
    </w:rPr>
  </w:style>
  <w:style w:type="character" w:styleId="PageNumber">
    <w:name w:val="Page Number"/>
    <w:basedOn w:val="DefaultParagraphFont"/>
    <w:rPr/>
  </w:style>
  <w:style w:type="character" w:styleId="UnresolvedMention">
    <w:name w:val="Unresolved Mention"/>
    <w:qFormat/>
    <w:rPr>
      <w:color w:val="605E5C"/>
      <w:shd w:fill="E1DFDD" w:val="clear"/>
    </w:rPr>
  </w:style>
  <w:style w:type="character" w:styleId="FollowedHyperlink">
    <w:name w:val="FollowedHyperlink"/>
    <w:rPr>
      <w:color w:val="954F72"/>
      <w:u w:val="single"/>
    </w:rPr>
  </w:style>
  <w:style w:type="paragraph" w:styleId="Heading">
    <w:name w:val="Heading"/>
    <w:basedOn w:val="Normal"/>
    <w:next w:val="BodyText"/>
    <w:qFormat/>
    <w:pPr>
      <w:spacing w:lineRule="auto" w:line="480" w:before="0" w:after="0"/>
      <w:jc w:val="center"/>
    </w:pPr>
    <w:rPr>
      <w:rFonts w:ascii="Times New Roman" w:hAnsi="Times New Roman" w:cs="Times New Roman"/>
      <w:b/>
      <w:sz w:val="24"/>
      <w:szCs w:val="20"/>
      <w:lang w:val="en-US"/>
    </w:rPr>
  </w:style>
  <w:style w:type="paragraph" w:styleId="BodyText">
    <w:name w:val="Body Text"/>
    <w:basedOn w:val="Normal"/>
    <w:pPr>
      <w:spacing w:lineRule="auto" w:line="240" w:before="0" w:after="0"/>
      <w:jc w:val="both"/>
    </w:pPr>
    <w:rPr>
      <w:rFonts w:ascii="Times New Roman" w:hAnsi="Times New Roman" w:cs="Times New Roman"/>
      <w:sz w:val="24"/>
      <w:szCs w:val="20"/>
      <w:lang w:val="en-US"/>
    </w:rPr>
  </w:style>
  <w:style w:type="paragraph" w:styleId="List">
    <w:name w:val="List"/>
    <w:basedOn w:val="BodyText"/>
    <w:pPr/>
    <w:rPr>
      <w:rFonts w:cs="FreeSans"/>
    </w:rPr>
  </w:style>
  <w:style w:type="paragraph" w:styleId="Caption">
    <w:name w:val="Caption"/>
    <w:basedOn w:val="Normal"/>
    <w:next w:val="Normal"/>
    <w:qFormat/>
    <w:pPr>
      <w:spacing w:lineRule="auto" w:line="240"/>
      <w:ind w:firstLine="567" w:start="0" w:end="0"/>
      <w:jc w:val="both"/>
    </w:pPr>
    <w:rPr>
      <w:rFonts w:ascii="Times New Roman" w:hAnsi="Times New Roman" w:eastAsia="Calibri" w:cs="Times New Roman"/>
      <w:i/>
      <w:iCs/>
      <w:color w:val="44546A"/>
      <w:sz w:val="18"/>
      <w:szCs w:val="18"/>
      <w:lang w:val="en-US"/>
    </w:rPr>
  </w:style>
  <w:style w:type="paragraph" w:styleId="Index">
    <w:name w:val="Index"/>
    <w:basedOn w:val="Normal"/>
    <w:qFormat/>
    <w:pPr>
      <w:suppressLineNumbers/>
    </w:pPr>
    <w:rPr>
      <w:rFonts w:cs="FreeSans"/>
    </w:rPr>
  </w:style>
  <w:style w:type="paragraph" w:styleId="BalloonText">
    <w:name w:val="Balloon Text"/>
    <w:basedOn w:val="Normal"/>
    <w:qFormat/>
    <w:pPr>
      <w:spacing w:lineRule="auto" w:line="240" w:before="0" w:after="0"/>
    </w:pPr>
    <w:rPr>
      <w:rFonts w:ascii="Tahoma" w:hAnsi="Tahoma" w:cs="Times New Roman"/>
      <w:sz w:val="16"/>
      <w:szCs w:val="16"/>
      <w:lang w:val="en-US"/>
    </w:rPr>
  </w:style>
  <w:style w:type="paragraph" w:styleId="CommentText">
    <w:name w:val="Comment Text"/>
    <w:basedOn w:val="Normal"/>
    <w:qFormat/>
    <w:pPr>
      <w:spacing w:lineRule="auto" w:line="240"/>
    </w:pPr>
    <w:rPr>
      <w:rFonts w:cs="Times New Roman"/>
      <w:sz w:val="20"/>
      <w:szCs w:val="20"/>
      <w:lang w:val="en-US"/>
    </w:rPr>
  </w:style>
  <w:style w:type="paragraph" w:styleId="CommentSubject">
    <w:name w:val="Comment Subject"/>
    <w:basedOn w:val="CommentText"/>
    <w:next w:val="CommentText"/>
    <w:qFormat/>
    <w:pPr/>
    <w:rPr>
      <w:b/>
      <w:bCs/>
    </w:rPr>
  </w:style>
  <w:style w:type="paragraph" w:styleId="ListParagraph">
    <w:name w:val="List Paragraph"/>
    <w:basedOn w:val="Normal"/>
    <w:qFormat/>
    <w:pPr>
      <w:spacing w:before="0" w:after="200"/>
      <w:ind w:hanging="0" w:start="720" w:end="0"/>
      <w:contextualSpacing/>
    </w:pPr>
    <w:rPr>
      <w:rFonts w:cs="Times New Roman"/>
      <w:sz w:val="20"/>
      <w:szCs w:val="20"/>
      <w:lang w:val="en-U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spacing w:lineRule="auto" w:line="240" w:before="0" w:after="0"/>
    </w:pPr>
    <w:rPr>
      <w:rFonts w:cs="Times New Roman"/>
      <w:sz w:val="20"/>
      <w:szCs w:val="20"/>
      <w:lang w:val="en-US"/>
    </w:rPr>
  </w:style>
  <w:style w:type="paragraph" w:styleId="Footer">
    <w:name w:val="Footer"/>
    <w:basedOn w:val="Normal"/>
    <w:pPr>
      <w:spacing w:lineRule="auto" w:line="240" w:before="0" w:after="0"/>
    </w:pPr>
    <w:rPr>
      <w:rFonts w:cs="Times New Roman"/>
      <w:sz w:val="20"/>
      <w:szCs w:val="20"/>
      <w:lang w:val="en-US"/>
    </w:rPr>
  </w:style>
  <w:style w:type="paragraph" w:styleId="FootnoteText">
    <w:name w:val="Footnote Text"/>
    <w:basedOn w:val="Normal"/>
    <w:pPr>
      <w:spacing w:lineRule="auto" w:line="240" w:before="0" w:after="0"/>
    </w:pPr>
    <w:rPr>
      <w:rFonts w:cs="Times New Roman"/>
      <w:sz w:val="20"/>
      <w:szCs w:val="20"/>
      <w:lang w:val="en-US"/>
    </w:rPr>
  </w:style>
  <w:style w:type="paragraph" w:styleId="Bibliography">
    <w:name w:val="Bibliography"/>
    <w:basedOn w:val="Normal"/>
    <w:next w:val="Normal"/>
    <w:qFormat/>
    <w:pPr/>
    <w:rPr/>
  </w:style>
  <w:style w:type="paragraph" w:styleId="NoSpacing">
    <w:name w:val="No Spacing"/>
    <w:qFormat/>
    <w:pPr>
      <w:widowControl/>
      <w:bidi w:val="0"/>
    </w:pPr>
    <w:rPr>
      <w:rFonts w:ascii="Calibri" w:hAnsi="Calibri" w:eastAsia="Times New Roman" w:cs="Times New Roman"/>
      <w:color w:val="auto"/>
      <w:sz w:val="22"/>
      <w:szCs w:val="22"/>
      <w:lang w:val="id-ID" w:bidi="ar-SA" w:eastAsia="zh-CN"/>
    </w:rPr>
  </w:style>
  <w:style w:type="paragraph" w:styleId="JurnalHeading1">
    <w:name w:val="Jurnal Heading 1"/>
    <w:basedOn w:val="Normal"/>
    <w:qFormat/>
    <w:pPr>
      <w:widowControl w:val="false"/>
      <w:suppressAutoHyphens w:val="true"/>
      <w:spacing w:lineRule="auto" w:line="240" w:before="0" w:after="0"/>
      <w:jc w:val="both"/>
    </w:pPr>
    <w:rPr>
      <w:rFonts w:ascii="Times New Roman" w:hAnsi="Times New Roman" w:eastAsia="Arial Unicode MS" w:cs="Times New Roman"/>
      <w:b/>
      <w:kern w:val="2"/>
      <w:sz w:val="20"/>
      <w:szCs w:val="20"/>
      <w:lang w:val="sv-SE"/>
    </w:rPr>
  </w:style>
  <w:style w:type="paragraph" w:styleId="referensi">
    <w:name w:val="referensi"/>
    <w:basedOn w:val="Normal"/>
    <w:qFormat/>
    <w:pPr>
      <w:widowControl w:val="false"/>
      <w:suppressAutoHyphens w:val="true"/>
      <w:spacing w:lineRule="auto" w:line="240" w:before="0" w:after="0"/>
      <w:jc w:val="both"/>
    </w:pPr>
    <w:rPr>
      <w:rFonts w:ascii="Times New Roman" w:hAnsi="Times New Roman" w:eastAsia="Arial Unicode MS" w:cs="Times New Roman"/>
      <w:b/>
      <w:kern w:val="2"/>
      <w:sz w:val="20"/>
      <w:szCs w:val="20"/>
      <w:lang w:val="sv-SE"/>
    </w:rPr>
  </w:style>
  <w:style w:type="paragraph" w:styleId="BodyText2">
    <w:name w:val="Body Text 2"/>
    <w:basedOn w:val="Normal"/>
    <w:qFormat/>
    <w:pPr>
      <w:spacing w:lineRule="auto" w:line="480" w:before="0" w:after="0"/>
      <w:jc w:val="both"/>
    </w:pPr>
    <w:rPr>
      <w:rFonts w:ascii="Times New Roman" w:hAnsi="Times New Roman" w:cs="Times New Roman"/>
      <w:sz w:val="24"/>
      <w:szCs w:val="20"/>
      <w:lang w:val="en-US"/>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TableContents">
    <w:name w:val="Table Contents"/>
    <w:basedOn w:val="Normal"/>
    <w:qFormat/>
    <w:pPr>
      <w:suppressLineNumbers/>
      <w:spacing w:lineRule="auto" w:line="240" w:before="0" w:after="0"/>
      <w:jc w:val="both"/>
    </w:pPr>
    <w:rPr>
      <w:rFonts w:ascii="Liberation Serif;Times New Roman" w:hAnsi="Liberation Serif;Times New Roman" w:eastAsia="Noto Serif CJK SC;Times New Roman" w:cs="Lohit Devanagari;Times New Roman"/>
      <w:kern w:val="2"/>
      <w:sz w:val="20"/>
      <w:szCs w:val="20"/>
      <w:lang w:val="en-US" w:eastAsia="zh-CN" w:bidi="hi-IN"/>
    </w:rPr>
  </w:style>
  <w:style w:type="paragraph" w:styleId="TableTitle">
    <w:name w:val="Table Title"/>
    <w:basedOn w:val="Normal"/>
    <w:qFormat/>
    <w:pPr>
      <w:spacing w:lineRule="auto" w:line="240" w:before="0" w:after="0"/>
      <w:jc w:val="center"/>
    </w:pPr>
    <w:rPr>
      <w:rFonts w:ascii="Liberation Serif;Times New Roman" w:hAnsi="Liberation Serif;Times New Roman" w:eastAsia="MS Mincho;ＭＳ 明朝" w:cs="Lohit Devanagari;Times New Roman"/>
      <w:smallCaps/>
      <w:sz w:val="16"/>
      <w:szCs w:val="16"/>
      <w:lang w:val="en-US" w:eastAsia="zh-CN" w:bidi="hi-IN"/>
    </w:rPr>
  </w:style>
  <w:style w:type="paragraph" w:styleId="HTMLPreformatted">
    <w:name w:val="HTML Preformatted"/>
    <w:basedOn w:val="Normal"/>
    <w:qFormat/>
    <w:pPr>
      <w:spacing w:lineRule="auto" w:line="240" w:before="0" w:after="0"/>
    </w:pPr>
    <w:rPr>
      <w:rFonts w:ascii="Courier New" w:hAnsi="Courier New" w:cs="Courier New"/>
      <w:sz w:val="20"/>
      <w:szCs w:val="20"/>
      <w:lang w:val="en-US"/>
    </w:rPr>
  </w:style>
  <w:style w:type="paragraph" w:styleId="BodyTextIndent">
    <w:name w:val="Body Text Indent"/>
    <w:basedOn w:val="Normal"/>
    <w:pPr>
      <w:spacing w:before="0" w:after="120"/>
      <w:ind w:hanging="0" w:start="283" w:end="0"/>
    </w:pPr>
    <w:rPr/>
  </w:style>
  <w:style w:type="paragraph" w:styleId="TableParagraph">
    <w:name w:val="Table Paragraph"/>
    <w:basedOn w:val="Normal"/>
    <w:qFormat/>
    <w:pPr>
      <w:widowControl w:val="false"/>
      <w:autoSpaceDE w:val="false"/>
      <w:spacing w:lineRule="exact" w:line="215" w:before="115" w:after="0"/>
      <w:ind w:hanging="0" w:start="105" w:end="0"/>
    </w:pPr>
    <w:rPr>
      <w:rFonts w:ascii="Times New Roman" w:hAnsi="Times New Roman" w:cs="Times New Roman"/>
      <w:lang w:val="en-US" w:bidi="en-US"/>
    </w:rPr>
  </w:style>
  <w:style w:type="paragraph" w:styleId="NormalWeb">
    <w:name w:val="Normal (Web)"/>
    <w:basedOn w:val="Normal"/>
    <w:qFormat/>
    <w:pPr>
      <w:spacing w:lineRule="auto" w:line="240" w:before="280" w:after="280"/>
    </w:pPr>
    <w:rPr>
      <w:rFonts w:ascii="Times New Roman" w:hAnsi="Times New Roman" w:cs="Times New Roman"/>
      <w:sz w:val="24"/>
      <w:szCs w:val="24"/>
    </w:rPr>
  </w:style>
  <w:style w:type="paragraph" w:styleId="Text">
    <w:name w:val="Text"/>
    <w:basedOn w:val="Normal"/>
    <w:qFormat/>
    <w:pPr>
      <w:widowControl w:val="false"/>
      <w:suppressAutoHyphens w:val="true"/>
      <w:autoSpaceDE w:val="false"/>
      <w:spacing w:lineRule="auto" w:line="252" w:before="0" w:after="0"/>
      <w:ind w:firstLine="202" w:start="0" w:end="0"/>
      <w:jc w:val="both"/>
    </w:pPr>
    <w:rPr>
      <w:rFonts w:ascii="Times New Roman" w:hAnsi="Times New Roman" w:eastAsia="MS Mincho;ＭＳ 明朝" w:cs="Times New Roman"/>
      <w:sz w:val="20"/>
      <w:szCs w:val="20"/>
      <w:lang w:val="en-US"/>
    </w:rPr>
  </w:style>
  <w:style w:type="paragraph" w:styleId="TableHeading">
    <w:name w:val="Table Heading"/>
    <w:basedOn w:val="TableContents"/>
    <w:qFormat/>
    <w:pPr>
      <w:suppressLineNumbers/>
      <w:jc w:val="center"/>
    </w:pPr>
    <w:rPr>
      <w:b/>
      <w:bCs/>
    </w:rPr>
  </w:style>
  <w:style w:type="paragraph" w:styleId="HeaderLeft">
    <w:name w:val="Header Left"/>
    <w:basedOn w:val="Header"/>
    <w:qFormat/>
    <w:pPr>
      <w:suppressLineNumbers/>
      <w:tabs>
        <w:tab w:val="clear" w:pos="720"/>
        <w:tab w:val="center" w:pos="4393" w:leader="none"/>
        <w:tab w:val="right" w:pos="8787" w:leader="none"/>
      </w:tabs>
    </w:pPr>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hyperlink" Target="http://ejournal.uika-bogor.ac.id/index.php/INOVA-TIF/index" TargetMode="External"/><Relationship Id="rId3" Type="http://schemas.openxmlformats.org/officeDocument/2006/relationships/hyperlink" Target="http://issn.pdii.lipi.go.id/issn.cgi?daftar&amp;1538030021" TargetMode="External"/><Relationship Id="rId4" Type="http://schemas.openxmlformats.org/officeDocument/2006/relationships/hyperlink" Target="http://issn.pdii.lipi.go.id/issn.cgi?daftar&amp;1538029821" TargetMode="External"/><Relationship Id="rId5" Type="http://schemas.openxmlformats.org/officeDocument/2006/relationships/hyperlink" Target="http://doi.org/10.32832/inovatif" TargetMode="External"/><Relationship Id="rId6" Type="http://schemas.openxmlformats.org/officeDocument/2006/relationships/hyperlink" Target="https://uika-bogor.ac.id/" TargetMode="Externa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2022-04-02T15:03:00Z</dcterms:created>
  <dc:creator>Humala</dc:creator>
  <dc:description/>
  <cp:keywords/>
  <dc:language>en-US</dc:language>
  <cp:lastModifiedBy>LPPM</cp:lastModifiedBy>
  <cp:lastPrinted>2020-05-28T20:46:00Z</cp:lastPrinted>
  <dcterms:modified xsi:type="dcterms:W3CDTF">2022-04-02T15:03:00Z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