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Times New Roman" w:hAnsi="Times New Roman" w:cs="Times New Roman"/>
          <w:b/>
          <w:bCs/>
          <w:iCs/>
          <w:kern w:val="2"/>
          <w:sz w:val="28"/>
          <w:szCs w:val="20"/>
          <w:lang w:val="en-US" w:eastAsia="en-US"/>
        </w:rPr>
      </w:pPr>
      <w:r>
        <w:rPr>
          <w:rFonts w:ascii="Times New Roman" w:hAnsi="Times New Roman"/>
          <w:b/>
          <w:sz w:val="28"/>
        </w:rPr>
        <w:t>Hybrid Rule–Machine Learning Detection of Anomalies in SAMSAT Vehicle Tax Data</w:t>
      </w:r>
    </w:p>
    <w:p>
      <w:pPr>
        <w:pStyle w:val="Normal"/>
        <w:spacing w:lineRule="auto" w:line="240" w:before="0" w:after="0"/>
        <w:jc w:val="center"/>
        <w:rPr>
          <w:rFonts w:ascii="Times New Roman" w:hAnsi="Times New Roman" w:cs="Times New Roman"/>
          <w:b/>
          <w:bCs/>
          <w:iCs/>
          <w:caps/>
          <w:kern w:val="2"/>
          <w:sz w:val="20"/>
          <w:szCs w:val="20"/>
          <w:lang w:val="en-US" w:eastAsia="en-US"/>
        </w:rPr>
      </w:pPr>
      <w:r>
        <w:rPr>
          <w:rFonts w:cs="Times New Roman" w:ascii="Times New Roman" w:hAnsi="Times New Roman"/>
          <w:b/>
          <w:bCs/>
          <w:iCs/>
          <w:caps/>
          <w:kern w:val="2"/>
          <w:sz w:val="20"/>
          <w:szCs w:val="20"/>
          <w:lang w:val="en-US" w:eastAsia="en-US"/>
        </w:rPr>
      </w:r>
    </w:p>
    <w:p>
      <w:pPr>
        <w:pStyle w:val="Normal"/>
        <w:spacing w:lineRule="auto" w:line="240" w:before="0" w:after="0"/>
        <w:jc w:val="center"/>
        <w:rPr/>
      </w:pPr>
      <w:r>
        <w:rPr>
          <w:rFonts w:ascii="Times New Roman" w:hAnsi="Times New Roman"/>
          <w:b w:val="0"/>
          <w:sz w:val="20"/>
        </w:rPr>
      </w:r>
    </w:p>
    <w:p>
      <w:pPr>
        <w:pStyle w:val="Normal"/>
        <w:tabs>
          <w:tab w:val="clear" w:pos="720"/>
          <w:tab w:val="left" w:pos="-2250" w:leader="none"/>
        </w:tabs>
        <w:autoSpaceDE w:val="false"/>
        <w:spacing w:lineRule="auto" w:line="240" w:before="0" w:after="0"/>
        <w:jc w:val="center"/>
        <w:rPr>
          <w:rFonts w:ascii="Times New Roman" w:hAnsi="Times New Roman" w:eastAsia="Arial Unicode MS" w:cs="Times New Roman"/>
          <w:kern w:val="2"/>
          <w:sz w:val="20"/>
          <w:szCs w:val="20"/>
          <w:lang w:val="en-US" w:eastAsia="en-US"/>
        </w:rPr>
      </w:pPr>
      <w:r>
        <w:rPr>
          <w:rFonts w:ascii="Times New Roman" w:hAnsi="Times New Roman"/>
          <w:b w:val="0"/>
          <w:sz w:val="20"/>
        </w:rPr>
      </w:r>
    </w:p>
    <w:p>
      <w:pPr>
        <w:pStyle w:val="Normal"/>
        <w:spacing w:lineRule="auto" w:line="240" w:before="0" w:after="0"/>
        <w:jc w:val="center"/>
        <w:rPr>
          <w:rFonts w:ascii="Times New Roman" w:hAnsi="Times New Roman" w:eastAsia="Arial Unicode MS" w:cs="Times New Roman"/>
          <w:b/>
          <w:kern w:val="2"/>
          <w:sz w:val="20"/>
          <w:szCs w:val="20"/>
          <w:lang w:val="en-US" w:eastAsia="en-US"/>
        </w:rPr>
      </w:pPr>
      <w:r>
        <w:rPr>
          <w:rFonts w:eastAsia="Arial Unicode MS" w:cs="Times New Roman" w:ascii="Times New Roman" w:hAnsi="Times New Roman"/>
          <w:b/>
          <w:kern w:val="2"/>
          <w:sz w:val="20"/>
          <w:szCs w:val="20"/>
          <w:lang w:val="en-US" w:eastAsia="en-US"/>
        </w:rPr>
      </w:r>
    </w:p>
    <w:p>
      <w:pPr>
        <w:pStyle w:val="Normal"/>
        <w:spacing w:lineRule="auto" w:line="240" w:before="0" w:after="0"/>
        <w:jc w:val="center"/>
        <w:rPr>
          <w:rFonts w:ascii="Times New Roman" w:hAnsi="Times New Roman" w:cs="Times New Roman"/>
          <w:b/>
          <w:sz w:val="20"/>
          <w:szCs w:val="20"/>
          <w:lang w:val="en-US" w:eastAsia="en-US"/>
        </w:rPr>
      </w:pPr>
      <w:r>
        <w:rPr>
          <w:rFonts w:ascii="Times New Roman" w:hAnsi="Times New Roman"/>
          <w:b/>
          <w:sz w:val="24"/>
        </w:rPr>
        <w:t>Ahmad Dedi Jubaedi</w:t>
      </w:r>
      <w:r>
        <w:rPr>
          <w:rFonts w:ascii="Times New Roman" w:hAnsi="Times New Roman"/>
          <w:b/>
          <w:sz w:val="24"/>
          <w:vertAlign w:val="superscript"/>
        </w:rPr>
        <w:t>1,*</w:t>
      </w:r>
      <w:r>
        <w:rPr>
          <w:rFonts w:ascii="Times New Roman" w:hAnsi="Times New Roman"/>
          <w:b/>
          <w:sz w:val="24"/>
        </w:rPr>
        <w:t xml:space="preserve">, </w:t>
      </w:r>
      <w:r>
        <w:rPr>
          <w:rFonts w:ascii="Times New Roman" w:hAnsi="Times New Roman"/>
          <w:b/>
          <w:sz w:val="24"/>
        </w:rPr>
        <w:t>Saleh Dwiyatno</w:t>
      </w:r>
      <w:r>
        <w:rPr>
          <w:rFonts w:ascii="Times New Roman" w:hAnsi="Times New Roman"/>
          <w:b/>
          <w:sz w:val="24"/>
          <w:vertAlign w:val="superscript"/>
        </w:rPr>
        <w:t>1</w:t>
      </w:r>
      <w:r>
        <w:rPr>
          <w:rFonts w:ascii="Times New Roman" w:hAnsi="Times New Roman"/>
          <w:b/>
          <w:sz w:val="24"/>
        </w:rPr>
        <w:t xml:space="preserve">, </w:t>
      </w:r>
      <w:r>
        <w:rPr>
          <w:rFonts w:ascii="Times New Roman" w:hAnsi="Times New Roman"/>
          <w:b/>
          <w:sz w:val="24"/>
        </w:rPr>
        <w:t>Rahmat</w:t>
      </w:r>
      <w:r>
        <w:rPr>
          <w:rFonts w:ascii="Times New Roman" w:hAnsi="Times New Roman"/>
          <w:b/>
          <w:sz w:val="24"/>
          <w:vertAlign w:val="superscript"/>
        </w:rPr>
        <w:t>2</w:t>
      </w:r>
    </w:p>
    <w:p>
      <w:pPr>
        <w:pStyle w:val="Normal"/>
        <w:spacing w:lineRule="auto" w:line="240" w:before="0" w:after="0"/>
        <w:jc w:val="center"/>
        <w:rPr>
          <w:rFonts w:ascii="Times New Roman" w:hAnsi="Times New Roman" w:eastAsia="Arial Unicode MS" w:cs="Times New Roman"/>
          <w:kern w:val="2"/>
          <w:sz w:val="20"/>
          <w:szCs w:val="20"/>
          <w:lang w:val="en-US" w:eastAsia="en-US"/>
        </w:rPr>
      </w:pPr>
      <w:r>
        <w:rPr>
          <w:rFonts w:ascii="Times New Roman" w:hAnsi="Times New Roman"/>
          <w:b w:val="0"/>
          <w:sz w:val="20"/>
        </w:rPr>
      </w:r>
    </w:p>
    <w:p>
      <w:pPr>
        <w:pStyle w:val="Normal"/>
        <w:spacing w:lineRule="auto" w:line="240" w:before="0" w:after="0"/>
        <w:jc w:val="center"/>
        <w:rPr>
          <w:rFonts w:ascii="Times New Roman" w:hAnsi="Times New Roman" w:eastAsia="Arial Unicode MS" w:cs="Times New Roman"/>
          <w:kern w:val="2"/>
          <w:sz w:val="20"/>
          <w:szCs w:val="20"/>
          <w:lang w:val="en-US" w:eastAsia="en-US"/>
        </w:rPr>
      </w:pPr>
      <w:r>
        <w:rPr>
          <w:rFonts w:eastAsia="Arial Unicode MS" w:cs="Times New Roman" w:ascii="Times New Roman" w:hAnsi="Times New Roman"/>
          <w:kern w:val="2"/>
          <w:sz w:val="20"/>
          <w:szCs w:val="20"/>
          <w:lang w:val="en-US" w:eastAsia="en-US"/>
        </w:rPr>
      </w:r>
    </w:p>
    <w:p>
      <w:pPr>
        <w:pStyle w:val="Normal"/>
        <w:spacing w:lineRule="auto" w:line="240" w:before="0" w:after="0"/>
        <w:jc w:val="center"/>
        <w:rPr/>
      </w:pPr>
      <w:r>
        <w:rPr>
          <w:rFonts w:ascii="Times New Roman" w:hAnsi="Times New Roman"/>
          <w:b w:val="0"/>
          <w:sz w:val="20"/>
          <w:vertAlign w:val="superscript"/>
        </w:rPr>
        <w:t>1</w:t>
      </w:r>
      <w:r>
        <w:rPr>
          <w:rFonts w:ascii="Times New Roman" w:hAnsi="Times New Roman"/>
          <w:b w:val="0"/>
          <w:sz w:val="20"/>
        </w:rPr>
        <w:t>Faculty of Computer Science, Universitas Serang Raya, Jl. Raya Cilegon Km. 5, Taktakan, Serang, Banten 42162, Indonesia</w:t>
      </w:r>
    </w:p>
    <w:p>
      <w:pPr>
        <w:pStyle w:val="Normal"/>
        <w:spacing w:lineRule="auto" w:line="240" w:before="0" w:after="0"/>
        <w:jc w:val="center"/>
        <w:rPr/>
      </w:pPr>
      <w:r>
        <w:rPr>
          <w:rFonts w:ascii="Times New Roman" w:hAnsi="Times New Roman"/>
          <w:b w:val="0"/>
          <w:sz w:val="20"/>
          <w:vertAlign w:val="superscript"/>
        </w:rPr>
        <w:t>2</w:t>
      </w:r>
      <w:r>
        <w:rPr>
          <w:rFonts w:ascii="Times New Roman" w:hAnsi="Times New Roman"/>
          <w:b w:val="0"/>
          <w:sz w:val="20"/>
        </w:rPr>
        <w:t>AMIK Serang, Serang, Banten, Indonesia</w:t>
      </w:r>
    </w:p>
    <w:p>
      <w:pPr>
        <w:pStyle w:val="Normal"/>
        <w:spacing w:lineRule="auto" w:line="240" w:before="0" w:after="0"/>
        <w:jc w:val="center"/>
        <w:rPr>
          <w:rFonts w:ascii="Times New Roman" w:hAnsi="Times New Roman" w:cs="Times New Roman"/>
          <w:sz w:val="20"/>
          <w:szCs w:val="20"/>
          <w:lang w:val="en-US" w:eastAsia="en-US"/>
        </w:rPr>
      </w:pPr>
      <w:r>
        <w:rPr>
          <w:rFonts w:ascii="Times New Roman" w:hAnsi="Times New Roman"/>
          <w:b w:val="0"/>
          <w:sz w:val="20"/>
        </w:rPr>
      </w:r>
    </w:p>
    <w:p>
      <w:pPr>
        <w:pStyle w:val="Normal"/>
        <w:spacing w:lineRule="auto" w:line="240" w:before="0" w:after="0"/>
        <w:jc w:val="center"/>
        <w:rPr>
          <w:rFonts w:ascii="Times New Roman" w:hAnsi="Times New Roman" w:cs="Times New Roman"/>
          <w:sz w:val="20"/>
          <w:szCs w:val="20"/>
          <w:lang w:val="en-US" w:eastAsia="en-US"/>
        </w:rPr>
      </w:pPr>
      <w:r>
        <w:rPr>
          <w:rFonts w:cs="Times New Roman" w:ascii="Times New Roman" w:hAnsi="Times New Roman"/>
          <w:sz w:val="20"/>
          <w:szCs w:val="20"/>
          <w:lang w:val="en-US" w:eastAsia="en-US"/>
        </w:rPr>
      </w:r>
    </w:p>
    <w:p>
      <w:pPr>
        <w:pStyle w:val="Normal"/>
        <w:spacing w:lineRule="auto" w:line="240" w:before="0" w:after="0"/>
        <w:jc w:val="center"/>
        <w:rPr>
          <w:rFonts w:ascii="Times New Roman" w:hAnsi="Times New Roman" w:cs="Times New Roman"/>
          <w:sz w:val="20"/>
          <w:szCs w:val="20"/>
          <w:lang w:val="en-US" w:eastAsia="en-US"/>
        </w:rPr>
      </w:pPr>
      <w:r>
        <w:rPr>
          <w:rFonts w:ascii="Times New Roman" w:hAnsi="Times New Roman"/>
          <w:b w:val="0"/>
          <w:sz w:val="20"/>
        </w:rPr>
        <w:t>E-mail: dedi@unsera.ac.id (corresponding author), salehdwiyatno@gmail.com, rahmat042@gmail.com</w:t>
      </w:r>
    </w:p>
    <w:p>
      <w:pPr>
        <w:pStyle w:val="Normal"/>
        <w:spacing w:lineRule="auto" w:line="240" w:before="0" w:after="0"/>
        <w:jc w:val="center"/>
        <w:rPr>
          <w:rFonts w:ascii="Times New Roman" w:hAnsi="Times New Roman" w:cs="Times New Roman"/>
          <w:sz w:val="20"/>
          <w:szCs w:val="20"/>
          <w:lang w:val="en-US" w:eastAsia="en-US"/>
        </w:rPr>
      </w:pPr>
      <w:r>
        <w:rPr>
          <w:rFonts w:ascii="Times New Roman" w:hAnsi="Times New Roman"/>
          <w:b w:val="0"/>
          <w:sz w:val="20"/>
        </w:rPr>
      </w:r>
    </w:p>
    <w:tbl>
      <w:tblPr>
        <w:tblW w:w="8436" w:type="dxa"/>
        <w:jc w:val="start"/>
        <w:tblInd w:w="567" w:type="dxa"/>
        <w:tblLayout w:type="fixed"/>
        <w:tblCellMar>
          <w:top w:w="0" w:type="dxa"/>
          <w:start w:w="108" w:type="dxa"/>
          <w:bottom w:w="0" w:type="dxa"/>
          <w:end w:w="108" w:type="dxa"/>
        </w:tblCellMar>
      </w:tblPr>
      <w:tblGrid>
        <w:gridCol w:w="2810"/>
        <w:gridCol w:w="2811"/>
        <w:gridCol w:w="2815"/>
      </w:tblGrid>
      <w:tr>
        <w:trPr/>
        <w:tc>
          <w:tcPr>
            <w:tcW w:w="2810" w:type="dxa"/>
            <w:tcBorders>
              <w:top w:val="single" w:sz="4" w:space="0" w:color="000000"/>
              <w:bottom w:val="single" w:sz="4" w:space="0" w:color="000000"/>
            </w:tcBorders>
          </w:tcPr>
          <w:p>
            <w:pPr>
              <w:pStyle w:val="Normal"/>
              <w:spacing w:lineRule="auto" w:line="240" w:before="0" w:after="0"/>
              <w:ind w:end="565"/>
              <w:jc w:val="center"/>
              <w:rPr>
                <w:rFonts w:ascii="Times New Roman" w:hAnsi="Times New Roman" w:cs="Times New Roman"/>
                <w:sz w:val="20"/>
                <w:szCs w:val="20"/>
                <w:lang w:val="en-US" w:eastAsia="en-US"/>
              </w:rPr>
            </w:pPr>
            <w:r>
              <w:rPr>
                <w:rFonts w:cs="Times New Roman" w:ascii="Times New Roman" w:hAnsi="Times New Roman"/>
                <w:sz w:val="20"/>
                <w:szCs w:val="20"/>
                <w:lang w:val="en-US" w:eastAsia="en-US"/>
              </w:rPr>
              <w:t>Received :</w:t>
            </w:r>
            <w:r>
              <w:rPr>
                <w:rFonts w:cs="Times New Roman" w:ascii="Times New Roman" w:hAnsi="Times New Roman"/>
                <w:sz w:val="20"/>
                <w:szCs w:val="20"/>
                <w:lang w:val="en-US" w:eastAsia="en-US"/>
              </w:rPr>
              <w:t xml:space="preserve"> ……</w:t>
            </w:r>
          </w:p>
        </w:tc>
        <w:tc>
          <w:tcPr>
            <w:tcW w:w="2811" w:type="dxa"/>
            <w:tcBorders>
              <w:top w:val="single" w:sz="4" w:space="0" w:color="000000"/>
              <w:bottom w:val="single" w:sz="4" w:space="0" w:color="000000"/>
            </w:tcBorders>
          </w:tcPr>
          <w:p>
            <w:pPr>
              <w:pStyle w:val="Normal"/>
              <w:spacing w:lineRule="auto" w:line="240" w:before="0" w:after="0"/>
              <w:ind w:end="565"/>
              <w:jc w:val="center"/>
              <w:rPr>
                <w:rFonts w:ascii="Times New Roman" w:hAnsi="Times New Roman" w:cs="Times New Roman"/>
                <w:sz w:val="20"/>
                <w:szCs w:val="20"/>
                <w:lang w:val="en-US" w:eastAsia="en-US"/>
              </w:rPr>
            </w:pPr>
            <w:r>
              <w:rPr>
                <w:rFonts w:cs="Times New Roman" w:ascii="Times New Roman" w:hAnsi="Times New Roman"/>
                <w:sz w:val="20"/>
                <w:szCs w:val="20"/>
                <w:lang w:val="en-US" w:eastAsia="en-US"/>
              </w:rPr>
              <w:t>Accepted :</w:t>
            </w:r>
            <w:r>
              <w:rPr>
                <w:rFonts w:cs="Times New Roman" w:ascii="Times New Roman" w:hAnsi="Times New Roman"/>
                <w:sz w:val="20"/>
                <w:szCs w:val="20"/>
                <w:lang w:val="en-US" w:eastAsia="en-US"/>
              </w:rPr>
              <w:t xml:space="preserve"> ……….</w:t>
            </w:r>
          </w:p>
        </w:tc>
        <w:tc>
          <w:tcPr>
            <w:tcW w:w="2815" w:type="dxa"/>
            <w:tcBorders>
              <w:top w:val="single" w:sz="4" w:space="0" w:color="000000"/>
              <w:bottom w:val="single" w:sz="4" w:space="0" w:color="000000"/>
            </w:tcBorders>
          </w:tcPr>
          <w:p>
            <w:pPr>
              <w:pStyle w:val="Normal"/>
              <w:spacing w:lineRule="auto" w:line="240" w:before="0" w:after="0"/>
              <w:ind w:end="565"/>
              <w:jc w:val="center"/>
              <w:rPr>
                <w:rFonts w:ascii="Times New Roman" w:hAnsi="Times New Roman" w:cs="Times New Roman"/>
                <w:sz w:val="20"/>
                <w:szCs w:val="20"/>
                <w:lang w:val="en-US" w:eastAsia="en-US"/>
              </w:rPr>
            </w:pPr>
            <w:r>
              <w:rPr>
                <w:rFonts w:cs="Times New Roman" w:ascii="Times New Roman" w:hAnsi="Times New Roman"/>
                <w:sz w:val="20"/>
                <w:szCs w:val="20"/>
                <w:lang w:val="en-US" w:eastAsia="en-US"/>
              </w:rPr>
              <w:t>Published :</w:t>
            </w:r>
            <w:r>
              <w:rPr>
                <w:rFonts w:cs="Times New Roman" w:ascii="Times New Roman" w:hAnsi="Times New Roman"/>
                <w:sz w:val="20"/>
                <w:szCs w:val="20"/>
                <w:lang w:val="en-US" w:eastAsia="en-US"/>
              </w:rPr>
              <w:t xml:space="preserve"> …….</w:t>
            </w:r>
          </w:p>
        </w:tc>
      </w:tr>
    </w:tbl>
    <w:p>
      <w:pPr>
        <w:spacing w:before="0" w:after="0" w:line="240" w:lineRule="auto"/>
        <w:jc w:val="center"/>
      </w:pPr>
      <w:r>
        <w:rPr>
          <w:rFonts w:ascii="Times New Roman" w:hAnsi="Times New Roman" w:eastAsia="Times New Roman"/>
          <w:b/>
          <w:i w:val="0"/>
          <w:sz w:val="20"/>
        </w:rPr>
        <w:t>Abstract</w:t>
      </w:r>
    </w:p>
    <w:p>
      <w:pPr>
        <w:spacing w:before="0" w:after="0" w:line="240" w:lineRule="auto"/>
        <w:jc w:val="both"/>
      </w:pPr>
      <w:r>
        <w:rPr>
          <w:rFonts w:ascii="Times New Roman" w:hAnsi="Times New Roman" w:eastAsia="Times New Roman"/>
          <w:b w:val="0"/>
          <w:i w:val="0"/>
          <w:sz w:val="20"/>
        </w:rPr>
        <w:t xml:space="preserve">Motor vehicle tax (PKB) transactions recorded by SAMSAT offices underpin regional revenue reporting, yet their quality is rarely audited systematically. </w:t>
      </w:r>
      <w:r>
        <w:rPr>
          <w:rFonts w:ascii="Times New Roman" w:hAnsi="Times New Roman" w:eastAsia="Times New Roman"/>
          <w:b/>
          <w:i w:val="0"/>
          <w:sz w:val="20"/>
        </w:rPr>
        <w:t>Problem:</w:t>
      </w:r>
      <w:r>
        <w:rPr>
          <w:rFonts w:ascii="Times New Roman" w:hAnsi="Times New Roman" w:eastAsia="Times New Roman"/>
          <w:b w:val="0"/>
          <w:i w:val="0"/>
          <w:sz w:val="20"/>
        </w:rPr>
        <w:t xml:space="preserve"> inconsistencies such as penalties without arrears, mutation codes that contradict the application type and PKB values implausible for the vehicle type are hidden among hundreds of thousands of records, and no labelled ground truth exists. </w:t>
      </w:r>
      <w:r>
        <w:rPr>
          <w:rFonts w:ascii="Times New Roman" w:hAnsi="Times New Roman" w:eastAsia="Times New Roman"/>
          <w:b/>
          <w:i w:val="0"/>
          <w:sz w:val="20"/>
        </w:rPr>
        <w:t>Solution:</w:t>
      </w:r>
      <w:r>
        <w:rPr>
          <w:rFonts w:ascii="Times New Roman" w:hAnsi="Times New Roman" w:eastAsia="Times New Roman"/>
          <w:b w:val="0"/>
          <w:i w:val="0"/>
          <w:sz w:val="20"/>
        </w:rPr>
        <w:t xml:space="preserve"> we propose a three-layer hybrid detector that combines eleven domain rules with an ensemble of Isolation Forest, Local Outlier Factor (LOF) and an autoencoder, preceded by coding-scheme drift detection and harmonisation. The method was applied to 193,899 ISQL-WEB SAMSAT transactions from Banten (May–June 2021–2024), trained on 2021–2023 and tested on 2024 with eight injected anomaly types over ten runs. </w:t>
      </w:r>
      <w:r>
        <w:rPr>
          <w:rFonts w:ascii="Times New Roman" w:hAnsi="Times New Roman" w:eastAsia="Times New Roman"/>
          <w:b/>
          <w:i w:val="0"/>
          <w:sz w:val="20"/>
        </w:rPr>
        <w:t>Results:</w:t>
      </w:r>
      <w:r>
        <w:rPr>
          <w:rFonts w:ascii="Times New Roman" w:hAnsi="Times New Roman" w:eastAsia="Times New Roman"/>
          <w:b w:val="0"/>
          <w:i w:val="0"/>
          <w:sz w:val="20"/>
        </w:rPr>
        <w:t xml:space="preserve"> the hybrid detector reached PR-AUC 0.973 and ROC-AUC 0.996, outperforming rules alone (0.817), the autoencoder (0.862), Isolation Forest (0.178) and LOF (0.133) (Friedman p &lt; 0.001). Domain features raised the ensemble PR-AUC from 0.54 to 0.76. On real data, 5.2% of transactions violated at least one rule and a 2024 recoding of status and application codes was detected.</w:t>
      </w:r>
    </w:p>
    <w:p>
      <w:pPr>
        <w:spacing w:before="0" w:after="0" w:line="240" w:lineRule="auto"/>
        <w:jc w:val="both"/>
      </w:pPr>
      <w:r>
        <w:rPr>
          <w:rFonts w:ascii="Times New Roman" w:hAnsi="Times New Roman" w:eastAsia="Times New Roman"/>
          <w:b/>
          <w:i w:val="0"/>
          <w:sz w:val="20"/>
        </w:rPr>
        <w:t>Keywords:</w:t>
      </w:r>
      <w:r>
        <w:rPr>
          <w:rFonts w:ascii="Times New Roman" w:hAnsi="Times New Roman" w:eastAsia="Times New Roman"/>
          <w:b w:val="0"/>
          <w:i w:val="0"/>
          <w:sz w:val="20"/>
        </w:rPr>
        <w:t xml:space="preserve"> anomaly detection; data quality; Isolation Forest; autoencoder; motor vehicle tax</w:t>
      </w:r>
    </w:p>
    <w:p>
      <w:pPr>
        <w:spacing w:before="0" w:after="0" w:line="240" w:lineRule="auto"/>
        <w:jc w:val="both"/>
      </w:pPr>
    </w:p>
    <w:p>
      <w:pPr>
        <w:keepNext/>
        <w:spacing w:before="0" w:after="60" w:line="240" w:lineRule="auto"/>
        <w:jc w:val="left"/>
      </w:pPr>
      <w:r>
        <w:rPr>
          <w:rFonts w:ascii="Times New Roman" w:hAnsi="Times New Roman" w:eastAsia="Times New Roman"/>
          <w:b/>
          <w:i w:val="0"/>
          <w:sz w:val="20"/>
        </w:rPr>
        <w:t>1. Introduction</w:t>
      </w:r>
    </w:p>
    <w:p>
      <w:pPr>
        <w:spacing w:before="0" w:after="0" w:line="240" w:lineRule="auto"/>
        <w:jc w:val="both"/>
      </w:pPr>
      <w:r>
        <w:rPr>
          <w:rFonts w:ascii="Times New Roman" w:hAnsi="Times New Roman" w:eastAsia="Times New Roman"/>
          <w:b w:val="0"/>
          <w:i w:val="0"/>
          <w:sz w:val="20"/>
        </w:rPr>
        <w:t>Motor vehicle tax (PKB) and the vehicle transfer fee (BBNKB) are major sources of provincial own-source revenue in Indonesia, and their administration was recently redefined by the law on fiscal relations between the central and regional governments [1]. Every PKB transaction is recorded by the One-Roof Administration System (SAMSAT); in Banten the records are compiled by the ISQL-WEB SAMSAT application and used for revenue reporting, arrears collection and the evaluation of relief programmes. Indonesian PKB research has focused on taxpayer compliance and e-services [2,3] and on forecasting revenue realisation [4], whereas the quality of the transaction data itself is rarely examined. Data quality is nevertheless a prerequisite for reliable analytics and machine learning [5,6], and studies of open government data show that missing values and anomalies can be substantial when they are not monitored [7].</w:t>
      </w:r>
    </w:p>
    <w:p>
      <w:pPr>
        <w:spacing w:before="0" w:after="0" w:line="240" w:lineRule="auto"/>
        <w:jc w:val="both"/>
      </w:pPr>
      <w:r>
        <w:rPr>
          <w:rFonts w:ascii="Times New Roman" w:hAnsi="Times New Roman" w:eastAsia="Times New Roman"/>
          <w:b w:val="0"/>
          <w:i w:val="0"/>
          <w:sz w:val="20"/>
        </w:rPr>
        <w:t>In tax administration, machine learning has been used to detect tax risk, select audit targets and predict arrears [8–13]. Because labels for fraud or errors are almost always scarce, unsupervised approaches dominate [14,15]. Isolation Forest isolates rare points through random partitions [16,17], Local Outlier Factor (LOF) compares local densities [18], and autoencoders score the reconstruction error against learned normal patterns [19,20]. Audit systems in government, however, still rely mostly on rules written by officers; rules are easy to explain but only catch anticipated errors, whereas unsupervised models can find new patterns but are hard to explain [21,22].</w:t>
      </w:r>
    </w:p>
    <w:p>
      <w:pPr>
        <w:spacing w:before="0" w:after="0" w:line="240" w:lineRule="auto"/>
        <w:jc w:val="both"/>
      </w:pPr>
      <w:r>
        <w:rPr>
          <w:rFonts w:ascii="Times New Roman" w:hAnsi="Times New Roman" w:eastAsia="Times New Roman"/>
          <w:b/>
          <w:i w:val="0"/>
          <w:sz w:val="20"/>
        </w:rPr>
        <w:t>Problem statement.</w:t>
      </w:r>
      <w:r>
        <w:rPr>
          <w:rFonts w:ascii="Times New Roman" w:hAnsi="Times New Roman" w:eastAsia="Times New Roman"/>
          <w:b w:val="0"/>
          <w:i w:val="0"/>
          <w:sz w:val="20"/>
        </w:rPr>
        <w:t xml:space="preserve"> The PKB transaction data of SAMSAT Banten contain inconsistencies that entry validation does not catch, such as penalties without arrears, mutation codes that do not match the application type, transfer fees that contradict the transaction code, and PKB values that are implausible for the vehicle type. Three obstacles make the problem hard: (i) no ground-truth labels exist, so detector performance cannot be measured directly; (ii) the official code dictionary is not available to analysts and coding schemes may change between years, so static rules become outdated; and (iii) officers need an explainable priority list rather than a black-box score.</w:t>
      </w:r>
    </w:p>
    <w:p>
      <w:pPr>
        <w:spacing w:before="0" w:after="0" w:line="240" w:lineRule="auto"/>
        <w:jc w:val="both"/>
      </w:pPr>
      <w:r>
        <w:rPr>
          <w:rFonts w:ascii="Times New Roman" w:hAnsi="Times New Roman" w:eastAsia="Times New Roman"/>
          <w:b/>
          <w:i w:val="0"/>
          <w:sz w:val="20"/>
        </w:rPr>
        <w:t>Previous work.</w:t>
      </w:r>
      <w:r>
        <w:rPr>
          <w:rFonts w:ascii="Times New Roman" w:hAnsi="Times New Roman" w:eastAsia="Times New Roman"/>
          <w:b w:val="0"/>
          <w:i w:val="0"/>
          <w:sz w:val="20"/>
        </w:rPr>
        <w:t xml:space="preserve"> Table 1 summarises the closest studies. Savić et al. [14] combined clustering and representation learning to manage income-tax evasion risk, Westerski et al. [21] deployed explainable anomaly detection for public procurement, Karamanou et al. [7] used Isolation Forest to assess the quality of open government data, while Carcillo et al. [23] and Bakumenko and Elragal [24] combined unsupervised scores with supervised models on labelled financial data. No study has (a) integrated regional-tax domain rules with an IF–LOF–autoencoder ensemble at SAMSAT transaction level, (b) evaluated it quantitatively without labels through realistic anomaly injection [25] under temporal validation, and (c) simultaneously measured data quality and year-to-year coding-scheme drift [26].</w:t>
      </w:r>
    </w:p>
    <w:p>
      <w:pPr>
        <w:keepNext/>
        <w:spacing w:before="80" w:after="0" w:line="240" w:lineRule="auto"/>
        <w:jc w:val="center"/>
      </w:pPr>
      <w:r>
        <w:rPr>
          <w:rFonts w:ascii="Times New Roman" w:hAnsi="Times New Roman" w:eastAsia="Times New Roman"/>
          <w:b w:val="0"/>
          <w:i w:val="0"/>
          <w:sz w:val="16"/>
        </w:rPr>
        <w:t>Table 1: Comparison with previous studies</w:t>
      </w:r>
    </w:p>
    <w:tbl>
      <w:tblPr>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W w:w="8731" w:type="dxa"/>
        <w:tblLayout w:type="fixed"/>
      </w:tblPr>
      <w:tblGrid>
        <w:gridCol w:w="1644"/>
        <w:gridCol w:w="1644"/>
        <w:gridCol w:w="2041"/>
        <w:gridCol w:w="850"/>
        <w:gridCol w:w="1360"/>
        <w:gridCol w:w="1190"/>
      </w:tblGrid>
      <w:tr>
        <w:tc>
          <w:tcPr>
            <w:tcW w:type="dxa" w:w="1644"/>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Study</w:t>
            </w:r>
          </w:p>
        </w:tc>
        <w:tc>
          <w:tcPr>
            <w:tcW w:type="dxa" w:w="1644"/>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Domain/data</w:t>
            </w:r>
          </w:p>
        </w:tc>
        <w:tc>
          <w:tcPr>
            <w:tcW w:type="dxa" w:w="2041"/>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Method</w:t>
            </w:r>
          </w:p>
        </w:tc>
        <w:tc>
          <w:tcPr>
            <w:tcW w:type="dxa" w:w="850"/>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Domain rules</w:t>
            </w:r>
          </w:p>
        </w:tc>
        <w:tc>
          <w:tcPr>
            <w:tcW w:type="dxa" w:w="1361"/>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Evaluation</w:t>
            </w:r>
          </w:p>
        </w:tc>
        <w:tc>
          <w:tcPr>
            <w:tcW w:type="dxa" w:w="1191"/>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Data quality &amp; drift</w:t>
            </w:r>
          </w:p>
        </w:tc>
      </w:tr>
      <w:tr>
        <w:tc>
          <w:tcPr>
            <w:tcW w:type="dxa" w:w="1644"/>
            <w:tcMar>
              <w:top w:w="15" w:type="dxa"/>
              <w:bottom w:w="15" w:type="dxa"/>
            </w:tcMar>
          </w:tcPr>
          <w:p>
            <w:pPr>
              <w:spacing w:before="0" w:after="0" w:line="240" w:lineRule="auto"/>
              <w:jc w:val="left"/>
            </w:pPr>
            <w:r/>
            <w:r>
              <w:rPr>
                <w:rFonts w:ascii="Times New Roman" w:hAnsi="Times New Roman" w:eastAsia="Times New Roman"/>
                <w:b w:val="0"/>
                <w:i w:val="0"/>
                <w:sz w:val="16"/>
              </w:rPr>
              <w:t>Savić et al. [14]</w:t>
            </w:r>
          </w:p>
        </w:tc>
        <w:tc>
          <w:tcPr>
            <w:tcW w:type="dxa" w:w="1644"/>
            <w:tcMar>
              <w:top w:w="15" w:type="dxa"/>
              <w:bottom w:w="15" w:type="dxa"/>
            </w:tcMar>
          </w:tcPr>
          <w:p>
            <w:pPr>
              <w:spacing w:before="0" w:after="0" w:line="240" w:lineRule="auto"/>
              <w:jc w:val="left"/>
            </w:pPr>
            <w:r/>
            <w:r>
              <w:rPr>
                <w:rFonts w:ascii="Times New Roman" w:hAnsi="Times New Roman" w:eastAsia="Times New Roman"/>
                <w:b w:val="0"/>
                <w:i w:val="0"/>
                <w:sz w:val="16"/>
              </w:rPr>
              <w:t>Personal income tax, Serbia</w:t>
            </w:r>
          </w:p>
        </w:tc>
        <w:tc>
          <w:tcPr>
            <w:tcW w:type="dxa" w:w="2041"/>
            <w:tcMar>
              <w:top w:w="15" w:type="dxa"/>
              <w:bottom w:w="15" w:type="dxa"/>
            </w:tcMar>
          </w:tcPr>
          <w:p>
            <w:pPr>
              <w:spacing w:before="0" w:after="0" w:line="240" w:lineRule="auto"/>
              <w:jc w:val="left"/>
            </w:pPr>
            <w:r/>
            <w:r>
              <w:rPr>
                <w:rFonts w:ascii="Times New Roman" w:hAnsi="Times New Roman" w:eastAsia="Times New Roman"/>
                <w:b w:val="0"/>
                <w:i w:val="0"/>
                <w:sz w:val="16"/>
              </w:rPr>
              <w:t>Clustering + autoencoder (HUNOD), surrogate model</w:t>
            </w:r>
          </w:p>
        </w:tc>
        <w:tc>
          <w:tcPr>
            <w:tcW w:type="dxa" w:w="850"/>
            <w:tcMar>
              <w:top w:w="15" w:type="dxa"/>
              <w:bottom w:w="15" w:type="dxa"/>
            </w:tcMar>
          </w:tcPr>
          <w:p>
            <w:pPr>
              <w:spacing w:before="0" w:after="0" w:line="240" w:lineRule="auto"/>
              <w:jc w:val="center"/>
            </w:pPr>
            <w:r/>
            <w:r>
              <w:rPr>
                <w:rFonts w:ascii="Times New Roman" w:hAnsi="Times New Roman" w:eastAsia="Times New Roman"/>
                <w:b w:val="0"/>
                <w:i w:val="0"/>
                <w:sz w:val="16"/>
              </w:rPr>
              <w:t>Partly</w:t>
            </w:r>
          </w:p>
        </w:tc>
        <w:tc>
          <w:tcPr>
            <w:tcW w:type="dxa" w:w="1361"/>
            <w:tcMar>
              <w:top w:w="15" w:type="dxa"/>
              <w:bottom w:w="15" w:type="dxa"/>
            </w:tcMar>
          </w:tcPr>
          <w:p>
            <w:pPr>
              <w:spacing w:before="0" w:after="0" w:line="240" w:lineRule="auto"/>
              <w:jc w:val="left"/>
            </w:pPr>
            <w:r/>
            <w:r>
              <w:rPr>
                <w:rFonts w:ascii="Times New Roman" w:hAnsi="Times New Roman" w:eastAsia="Times New Roman"/>
                <w:b w:val="0"/>
                <w:i w:val="0"/>
                <w:sz w:val="16"/>
              </w:rPr>
              <w:t>Internal validation</w:t>
            </w:r>
          </w:p>
        </w:tc>
        <w:tc>
          <w:tcPr>
            <w:tcW w:type="dxa" w:w="1191"/>
            <w:tcMar>
              <w:top w:w="15" w:type="dxa"/>
              <w:bottom w:w="15" w:type="dxa"/>
            </w:tcMar>
          </w:tcPr>
          <w:p>
            <w:pPr>
              <w:spacing w:before="0" w:after="0" w:line="240" w:lineRule="auto"/>
              <w:jc w:val="center"/>
            </w:pPr>
            <w:r/>
            <w:r>
              <w:rPr>
                <w:rFonts w:ascii="Times New Roman" w:hAnsi="Times New Roman" w:eastAsia="Times New Roman"/>
                <w:b w:val="0"/>
                <w:i w:val="0"/>
                <w:sz w:val="16"/>
              </w:rPr>
              <w:t>No</w:t>
            </w:r>
          </w:p>
        </w:tc>
      </w:tr>
      <w:tr>
        <w:tc>
          <w:tcPr>
            <w:tcW w:type="dxa" w:w="1644"/>
            <w:tcMar>
              <w:top w:w="15" w:type="dxa"/>
              <w:bottom w:w="15" w:type="dxa"/>
            </w:tcMar>
          </w:tcPr>
          <w:p>
            <w:pPr>
              <w:spacing w:before="0" w:after="0" w:line="240" w:lineRule="auto"/>
              <w:jc w:val="left"/>
            </w:pPr>
            <w:r/>
            <w:r>
              <w:rPr>
                <w:rFonts w:ascii="Times New Roman" w:hAnsi="Times New Roman" w:eastAsia="Times New Roman"/>
                <w:b w:val="0"/>
                <w:i w:val="0"/>
                <w:sz w:val="16"/>
              </w:rPr>
              <w:t>Westerski et al. [21]</w:t>
            </w:r>
          </w:p>
        </w:tc>
        <w:tc>
          <w:tcPr>
            <w:tcW w:type="dxa" w:w="1644"/>
            <w:tcMar>
              <w:top w:w="15" w:type="dxa"/>
              <w:bottom w:w="15" w:type="dxa"/>
            </w:tcMar>
          </w:tcPr>
          <w:p>
            <w:pPr>
              <w:spacing w:before="0" w:after="0" w:line="240" w:lineRule="auto"/>
              <w:jc w:val="left"/>
            </w:pPr>
            <w:r/>
            <w:r>
              <w:rPr>
                <w:rFonts w:ascii="Times New Roman" w:hAnsi="Times New Roman" w:eastAsia="Times New Roman"/>
                <w:b w:val="0"/>
                <w:i w:val="0"/>
                <w:sz w:val="16"/>
              </w:rPr>
              <w:t>Public procurement</w:t>
            </w:r>
          </w:p>
        </w:tc>
        <w:tc>
          <w:tcPr>
            <w:tcW w:type="dxa" w:w="2041"/>
            <w:tcMar>
              <w:top w:w="15" w:type="dxa"/>
              <w:bottom w:w="15" w:type="dxa"/>
            </w:tcMar>
          </w:tcPr>
          <w:p>
            <w:pPr>
              <w:spacing w:before="0" w:after="0" w:line="240" w:lineRule="auto"/>
              <w:jc w:val="left"/>
            </w:pPr>
            <w:r/>
            <w:r>
              <w:rPr>
                <w:rFonts w:ascii="Times New Roman" w:hAnsi="Times New Roman" w:eastAsia="Times New Roman"/>
                <w:b w:val="0"/>
                <w:i w:val="0"/>
                <w:sz w:val="16"/>
              </w:rPr>
              <w:t>Explainable anomaly detection</w:t>
            </w:r>
          </w:p>
        </w:tc>
        <w:tc>
          <w:tcPr>
            <w:tcW w:type="dxa" w:w="850"/>
            <w:tcMar>
              <w:top w:w="15" w:type="dxa"/>
              <w:bottom w:w="15" w:type="dxa"/>
            </w:tcMar>
          </w:tcPr>
          <w:p>
            <w:pPr>
              <w:spacing w:before="0" w:after="0" w:line="240" w:lineRule="auto"/>
              <w:jc w:val="center"/>
            </w:pPr>
            <w:r/>
            <w:r>
              <w:rPr>
                <w:rFonts w:ascii="Times New Roman" w:hAnsi="Times New Roman" w:eastAsia="Times New Roman"/>
                <w:b w:val="0"/>
                <w:i w:val="0"/>
                <w:sz w:val="16"/>
              </w:rPr>
              <w:t>Yes</w:t>
            </w:r>
          </w:p>
        </w:tc>
        <w:tc>
          <w:tcPr>
            <w:tcW w:type="dxa" w:w="1361"/>
            <w:tcMar>
              <w:top w:w="15" w:type="dxa"/>
              <w:bottom w:w="15" w:type="dxa"/>
            </w:tcMar>
          </w:tcPr>
          <w:p>
            <w:pPr>
              <w:spacing w:before="0" w:after="0" w:line="240" w:lineRule="auto"/>
              <w:jc w:val="left"/>
            </w:pPr>
            <w:r/>
            <w:r>
              <w:rPr>
                <w:rFonts w:ascii="Times New Roman" w:hAnsi="Times New Roman" w:eastAsia="Times New Roman"/>
                <w:b w:val="0"/>
                <w:i w:val="0"/>
                <w:sz w:val="16"/>
              </w:rPr>
              <w:t>Deployment feedback</w:t>
            </w:r>
          </w:p>
        </w:tc>
        <w:tc>
          <w:tcPr>
            <w:tcW w:type="dxa" w:w="1191"/>
            <w:tcMar>
              <w:top w:w="15" w:type="dxa"/>
              <w:bottom w:w="15" w:type="dxa"/>
            </w:tcMar>
          </w:tcPr>
          <w:p>
            <w:pPr>
              <w:spacing w:before="0" w:after="0" w:line="240" w:lineRule="auto"/>
              <w:jc w:val="center"/>
            </w:pPr>
            <w:r/>
            <w:r>
              <w:rPr>
                <w:rFonts w:ascii="Times New Roman" w:hAnsi="Times New Roman" w:eastAsia="Times New Roman"/>
                <w:b w:val="0"/>
                <w:i w:val="0"/>
                <w:sz w:val="16"/>
              </w:rPr>
              <w:t>No</w:t>
            </w:r>
          </w:p>
        </w:tc>
      </w:tr>
      <w:tr>
        <w:tc>
          <w:tcPr>
            <w:tcW w:type="dxa" w:w="1644"/>
            <w:tcMar>
              <w:top w:w="15" w:type="dxa"/>
              <w:bottom w:w="15" w:type="dxa"/>
            </w:tcMar>
          </w:tcPr>
          <w:p>
            <w:pPr>
              <w:spacing w:before="0" w:after="0" w:line="240" w:lineRule="auto"/>
              <w:jc w:val="left"/>
            </w:pPr>
            <w:r/>
            <w:r>
              <w:rPr>
                <w:rFonts w:ascii="Times New Roman" w:hAnsi="Times New Roman" w:eastAsia="Times New Roman"/>
                <w:b w:val="0"/>
                <w:i w:val="0"/>
                <w:sz w:val="16"/>
              </w:rPr>
              <w:t>Karamanou et al. [7]</w:t>
            </w:r>
          </w:p>
        </w:tc>
        <w:tc>
          <w:tcPr>
            <w:tcW w:type="dxa" w:w="1644"/>
            <w:tcMar>
              <w:top w:w="15" w:type="dxa"/>
              <w:bottom w:w="15" w:type="dxa"/>
            </w:tcMar>
          </w:tcPr>
          <w:p>
            <w:pPr>
              <w:spacing w:before="0" w:after="0" w:line="240" w:lineRule="auto"/>
              <w:jc w:val="left"/>
            </w:pPr>
            <w:r/>
            <w:r>
              <w:rPr>
                <w:rFonts w:ascii="Times New Roman" w:hAnsi="Times New Roman" w:eastAsia="Times New Roman"/>
                <w:b w:val="0"/>
                <w:i w:val="0"/>
                <w:sz w:val="16"/>
              </w:rPr>
              <w:t>Traffic OGD, Greece</w:t>
            </w:r>
          </w:p>
        </w:tc>
        <w:tc>
          <w:tcPr>
            <w:tcW w:type="dxa" w:w="2041"/>
            <w:tcMar>
              <w:top w:w="15" w:type="dxa"/>
              <w:bottom w:w="15" w:type="dxa"/>
            </w:tcMar>
          </w:tcPr>
          <w:p>
            <w:pPr>
              <w:spacing w:before="0" w:after="0" w:line="240" w:lineRule="auto"/>
              <w:jc w:val="left"/>
            </w:pPr>
            <w:r/>
            <w:r>
              <w:rPr>
                <w:rFonts w:ascii="Times New Roman" w:hAnsi="Times New Roman" w:eastAsia="Times New Roman"/>
                <w:b w:val="0"/>
                <w:i w:val="0"/>
                <w:sz w:val="16"/>
              </w:rPr>
              <w:t>Isolation Forest + seasonal decomposition</w:t>
            </w:r>
          </w:p>
        </w:tc>
        <w:tc>
          <w:tcPr>
            <w:tcW w:type="dxa" w:w="850"/>
            <w:tcMar>
              <w:top w:w="15" w:type="dxa"/>
              <w:bottom w:w="15" w:type="dxa"/>
            </w:tcMar>
          </w:tcPr>
          <w:p>
            <w:pPr>
              <w:spacing w:before="0" w:after="0" w:line="240" w:lineRule="auto"/>
              <w:jc w:val="center"/>
            </w:pPr>
            <w:r/>
            <w:r>
              <w:rPr>
                <w:rFonts w:ascii="Times New Roman" w:hAnsi="Times New Roman" w:eastAsia="Times New Roman"/>
                <w:b w:val="0"/>
                <w:i w:val="0"/>
                <w:sz w:val="16"/>
              </w:rPr>
              <w:t>No</w:t>
            </w:r>
          </w:p>
        </w:tc>
        <w:tc>
          <w:tcPr>
            <w:tcW w:type="dxa" w:w="1361"/>
            <w:tcMar>
              <w:top w:w="15" w:type="dxa"/>
              <w:bottom w:w="15" w:type="dxa"/>
            </w:tcMar>
          </w:tcPr>
          <w:p>
            <w:pPr>
              <w:spacing w:before="0" w:after="0" w:line="240" w:lineRule="auto"/>
              <w:jc w:val="center"/>
            </w:pPr>
            <w:r/>
            <w:r>
              <w:rPr>
                <w:rFonts w:ascii="Times New Roman" w:hAnsi="Times New Roman" w:eastAsia="Times New Roman"/>
                <w:b w:val="0"/>
                <w:i w:val="0"/>
                <w:sz w:val="16"/>
              </w:rPr>
              <w:t>Descriptive</w:t>
            </w:r>
          </w:p>
        </w:tc>
        <w:tc>
          <w:tcPr>
            <w:tcW w:type="dxa" w:w="1191"/>
            <w:tcMar>
              <w:top w:w="15" w:type="dxa"/>
              <w:bottom w:w="15" w:type="dxa"/>
            </w:tcMar>
          </w:tcPr>
          <w:p>
            <w:pPr>
              <w:spacing w:before="0" w:after="0" w:line="240" w:lineRule="auto"/>
              <w:jc w:val="center"/>
            </w:pPr>
            <w:r/>
            <w:r>
              <w:rPr>
                <w:rFonts w:ascii="Times New Roman" w:hAnsi="Times New Roman" w:eastAsia="Times New Roman"/>
                <w:b w:val="0"/>
                <w:i w:val="0"/>
                <w:sz w:val="16"/>
              </w:rPr>
              <w:t>Yes</w:t>
            </w:r>
          </w:p>
        </w:tc>
      </w:tr>
      <w:tr>
        <w:tc>
          <w:tcPr>
            <w:tcW w:type="dxa" w:w="1644"/>
            <w:tcMar>
              <w:top w:w="15" w:type="dxa"/>
              <w:bottom w:w="15" w:type="dxa"/>
            </w:tcMar>
          </w:tcPr>
          <w:p>
            <w:pPr>
              <w:spacing w:before="0" w:after="0" w:line="240" w:lineRule="auto"/>
              <w:jc w:val="left"/>
            </w:pPr>
            <w:r/>
            <w:r>
              <w:rPr>
                <w:rFonts w:ascii="Times New Roman" w:hAnsi="Times New Roman" w:eastAsia="Times New Roman"/>
                <w:b w:val="0"/>
                <w:i w:val="0"/>
                <w:sz w:val="16"/>
              </w:rPr>
              <w:t>Bakumenko &amp; Elragal [24]</w:t>
            </w:r>
          </w:p>
        </w:tc>
        <w:tc>
          <w:tcPr>
            <w:tcW w:type="dxa" w:w="1644"/>
            <w:tcMar>
              <w:top w:w="15" w:type="dxa"/>
              <w:bottom w:w="15" w:type="dxa"/>
            </w:tcMar>
          </w:tcPr>
          <w:p>
            <w:pPr>
              <w:spacing w:before="0" w:after="0" w:line="240" w:lineRule="auto"/>
              <w:jc w:val="left"/>
            </w:pPr>
            <w:r/>
            <w:r>
              <w:rPr>
                <w:rFonts w:ascii="Times New Roman" w:hAnsi="Times New Roman" w:eastAsia="Times New Roman"/>
                <w:b w:val="0"/>
                <w:i w:val="0"/>
                <w:sz w:val="16"/>
              </w:rPr>
              <w:t>Financial journal data</w:t>
            </w:r>
          </w:p>
        </w:tc>
        <w:tc>
          <w:tcPr>
            <w:tcW w:type="dxa" w:w="2041"/>
            <w:tcMar>
              <w:top w:w="15" w:type="dxa"/>
              <w:bottom w:w="15" w:type="dxa"/>
            </w:tcMar>
          </w:tcPr>
          <w:p>
            <w:pPr>
              <w:spacing w:before="0" w:after="0" w:line="240" w:lineRule="auto"/>
              <w:jc w:val="left"/>
            </w:pPr>
            <w:r/>
            <w:r>
              <w:rPr>
                <w:rFonts w:ascii="Times New Roman" w:hAnsi="Times New Roman" w:eastAsia="Times New Roman"/>
                <w:b w:val="0"/>
                <w:i w:val="0"/>
                <w:sz w:val="16"/>
              </w:rPr>
              <w:t>Supervised &amp; unsupervised ML</w:t>
            </w:r>
          </w:p>
        </w:tc>
        <w:tc>
          <w:tcPr>
            <w:tcW w:type="dxa" w:w="850"/>
            <w:tcMar>
              <w:top w:w="15" w:type="dxa"/>
              <w:bottom w:w="15" w:type="dxa"/>
            </w:tcMar>
          </w:tcPr>
          <w:p>
            <w:pPr>
              <w:spacing w:before="0" w:after="0" w:line="240" w:lineRule="auto"/>
              <w:jc w:val="center"/>
            </w:pPr>
            <w:r/>
            <w:r>
              <w:rPr>
                <w:rFonts w:ascii="Times New Roman" w:hAnsi="Times New Roman" w:eastAsia="Times New Roman"/>
                <w:b w:val="0"/>
                <w:i w:val="0"/>
                <w:sz w:val="16"/>
              </w:rPr>
              <w:t>No</w:t>
            </w:r>
          </w:p>
        </w:tc>
        <w:tc>
          <w:tcPr>
            <w:tcW w:type="dxa" w:w="1361"/>
            <w:tcMar>
              <w:top w:w="15" w:type="dxa"/>
              <w:bottom w:w="15" w:type="dxa"/>
            </w:tcMar>
          </w:tcPr>
          <w:p>
            <w:pPr>
              <w:spacing w:before="0" w:after="0" w:line="240" w:lineRule="auto"/>
              <w:jc w:val="center"/>
            </w:pPr>
            <w:r/>
            <w:r>
              <w:rPr>
                <w:rFonts w:ascii="Times New Roman" w:hAnsi="Times New Roman" w:eastAsia="Times New Roman"/>
                <w:b w:val="0"/>
                <w:i w:val="0"/>
                <w:sz w:val="16"/>
              </w:rPr>
              <w:t>Anomaly labels</w:t>
            </w:r>
          </w:p>
        </w:tc>
        <w:tc>
          <w:tcPr>
            <w:tcW w:type="dxa" w:w="1191"/>
            <w:tcMar>
              <w:top w:w="15" w:type="dxa"/>
              <w:bottom w:w="15" w:type="dxa"/>
            </w:tcMar>
          </w:tcPr>
          <w:p>
            <w:pPr>
              <w:spacing w:before="0" w:after="0" w:line="240" w:lineRule="auto"/>
              <w:jc w:val="center"/>
            </w:pPr>
            <w:r/>
            <w:r>
              <w:rPr>
                <w:rFonts w:ascii="Times New Roman" w:hAnsi="Times New Roman" w:eastAsia="Times New Roman"/>
                <w:b w:val="0"/>
                <w:i w:val="0"/>
                <w:sz w:val="16"/>
              </w:rPr>
              <w:t>No</w:t>
            </w:r>
          </w:p>
        </w:tc>
      </w:tr>
      <w:tr>
        <w:tc>
          <w:tcPr>
            <w:tcW w:type="dxa" w:w="1644"/>
            <w:tcMar>
              <w:top w:w="15" w:type="dxa"/>
              <w:bottom w:w="15" w:type="dxa"/>
            </w:tcMar>
          </w:tcPr>
          <w:p>
            <w:pPr>
              <w:spacing w:before="0" w:after="0" w:line="240" w:lineRule="auto"/>
              <w:jc w:val="left"/>
            </w:pPr>
            <w:r/>
            <w:r>
              <w:rPr>
                <w:rFonts w:ascii="Times New Roman" w:hAnsi="Times New Roman" w:eastAsia="Times New Roman"/>
                <w:b w:val="0"/>
                <w:i w:val="0"/>
                <w:sz w:val="16"/>
              </w:rPr>
              <w:t>Carcillo et al. [23]</w:t>
            </w:r>
          </w:p>
        </w:tc>
        <w:tc>
          <w:tcPr>
            <w:tcW w:type="dxa" w:w="1644"/>
            <w:tcMar>
              <w:top w:w="15" w:type="dxa"/>
              <w:bottom w:w="15" w:type="dxa"/>
            </w:tcMar>
          </w:tcPr>
          <w:p>
            <w:pPr>
              <w:spacing w:before="0" w:after="0" w:line="240" w:lineRule="auto"/>
              <w:jc w:val="left"/>
            </w:pPr>
            <w:r/>
            <w:r>
              <w:rPr>
                <w:rFonts w:ascii="Times New Roman" w:hAnsi="Times New Roman" w:eastAsia="Times New Roman"/>
                <w:b w:val="0"/>
                <w:i w:val="0"/>
                <w:sz w:val="16"/>
              </w:rPr>
              <w:t>Credit-card transactions</w:t>
            </w:r>
          </w:p>
        </w:tc>
        <w:tc>
          <w:tcPr>
            <w:tcW w:type="dxa" w:w="2041"/>
            <w:tcMar>
              <w:top w:w="15" w:type="dxa"/>
              <w:bottom w:w="15" w:type="dxa"/>
            </w:tcMar>
          </w:tcPr>
          <w:p>
            <w:pPr>
              <w:spacing w:before="0" w:after="0" w:line="240" w:lineRule="auto"/>
              <w:jc w:val="left"/>
            </w:pPr>
            <w:r/>
            <w:r>
              <w:rPr>
                <w:rFonts w:ascii="Times New Roman" w:hAnsi="Times New Roman" w:eastAsia="Times New Roman"/>
                <w:b w:val="0"/>
                <w:i w:val="0"/>
                <w:sz w:val="16"/>
              </w:rPr>
              <w:t>Outlier scores + supervised classifier</w:t>
            </w:r>
          </w:p>
        </w:tc>
        <w:tc>
          <w:tcPr>
            <w:tcW w:type="dxa" w:w="850"/>
            <w:tcMar>
              <w:top w:w="15" w:type="dxa"/>
              <w:bottom w:w="15" w:type="dxa"/>
            </w:tcMar>
          </w:tcPr>
          <w:p>
            <w:pPr>
              <w:spacing w:before="0" w:after="0" w:line="240" w:lineRule="auto"/>
              <w:jc w:val="center"/>
            </w:pPr>
            <w:r/>
            <w:r>
              <w:rPr>
                <w:rFonts w:ascii="Times New Roman" w:hAnsi="Times New Roman" w:eastAsia="Times New Roman"/>
                <w:b w:val="0"/>
                <w:i w:val="0"/>
                <w:sz w:val="16"/>
              </w:rPr>
              <w:t>No</w:t>
            </w:r>
          </w:p>
        </w:tc>
        <w:tc>
          <w:tcPr>
            <w:tcW w:type="dxa" w:w="1361"/>
            <w:tcMar>
              <w:top w:w="15" w:type="dxa"/>
              <w:bottom w:w="15" w:type="dxa"/>
            </w:tcMar>
          </w:tcPr>
          <w:p>
            <w:pPr>
              <w:spacing w:before="0" w:after="0" w:line="240" w:lineRule="auto"/>
              <w:jc w:val="center"/>
            </w:pPr>
            <w:r/>
            <w:r>
              <w:rPr>
                <w:rFonts w:ascii="Times New Roman" w:hAnsi="Times New Roman" w:eastAsia="Times New Roman"/>
                <w:b w:val="0"/>
                <w:i w:val="0"/>
                <w:sz w:val="16"/>
              </w:rPr>
              <w:t>Fraud labels</w:t>
            </w:r>
          </w:p>
        </w:tc>
        <w:tc>
          <w:tcPr>
            <w:tcW w:type="dxa" w:w="1191"/>
            <w:tcMar>
              <w:top w:w="15" w:type="dxa"/>
              <w:bottom w:w="15" w:type="dxa"/>
            </w:tcMar>
          </w:tcPr>
          <w:p>
            <w:pPr>
              <w:spacing w:before="0" w:after="0" w:line="240" w:lineRule="auto"/>
              <w:jc w:val="center"/>
            </w:pPr>
            <w:r/>
            <w:r>
              <w:rPr>
                <w:rFonts w:ascii="Times New Roman" w:hAnsi="Times New Roman" w:eastAsia="Times New Roman"/>
                <w:b w:val="0"/>
                <w:i w:val="0"/>
                <w:sz w:val="16"/>
              </w:rPr>
              <w:t>No</w:t>
            </w:r>
          </w:p>
        </w:tc>
      </w:tr>
      <w:tr>
        <w:tc>
          <w:tcPr>
            <w:tcW w:type="dxa" w:w="1644"/>
            <w:tcMar>
              <w:top w:w="15" w:type="dxa"/>
              <w:bottom w:w="15" w:type="dxa"/>
            </w:tcMar>
          </w:tcPr>
          <w:p>
            <w:pPr>
              <w:spacing w:before="0" w:after="0" w:line="240" w:lineRule="auto"/>
              <w:jc w:val="left"/>
            </w:pPr>
            <w:r/>
            <w:r>
              <w:rPr>
                <w:rFonts w:ascii="Times New Roman" w:hAnsi="Times New Roman" w:eastAsia="Times New Roman"/>
                <w:b w:val="0"/>
                <w:i w:val="0"/>
                <w:sz w:val="16"/>
              </w:rPr>
              <w:t>Kurniasari et al. [4]</w:t>
            </w:r>
          </w:p>
        </w:tc>
        <w:tc>
          <w:tcPr>
            <w:tcW w:type="dxa" w:w="1644"/>
            <w:tcMar>
              <w:top w:w="15" w:type="dxa"/>
              <w:bottom w:w="15" w:type="dxa"/>
            </w:tcMar>
          </w:tcPr>
          <w:p>
            <w:pPr>
              <w:spacing w:before="0" w:after="0" w:line="240" w:lineRule="auto"/>
              <w:jc w:val="left"/>
            </w:pPr>
            <w:r/>
            <w:r>
              <w:rPr>
                <w:rFonts w:ascii="Times New Roman" w:hAnsi="Times New Roman" w:eastAsia="Times New Roman"/>
                <w:b w:val="0"/>
                <w:i w:val="0"/>
                <w:sz w:val="16"/>
              </w:rPr>
              <w:t>BBNKB realisation, Lampung</w:t>
            </w:r>
          </w:p>
        </w:tc>
        <w:tc>
          <w:tcPr>
            <w:tcW w:type="dxa" w:w="2041"/>
            <w:tcMar>
              <w:top w:w="15" w:type="dxa"/>
              <w:bottom w:w="15" w:type="dxa"/>
            </w:tcMar>
          </w:tcPr>
          <w:p>
            <w:pPr>
              <w:spacing w:before="0" w:after="0" w:line="240" w:lineRule="auto"/>
              <w:jc w:val="left"/>
            </w:pPr>
            <w:r/>
            <w:r>
              <w:rPr>
                <w:rFonts w:ascii="Times New Roman" w:hAnsi="Times New Roman" w:eastAsia="Times New Roman"/>
                <w:b w:val="0"/>
                <w:i w:val="0"/>
                <w:sz w:val="16"/>
              </w:rPr>
              <w:t>Artificial neural network (forecast)</w:t>
            </w:r>
          </w:p>
        </w:tc>
        <w:tc>
          <w:tcPr>
            <w:tcW w:type="dxa" w:w="850"/>
            <w:tcMar>
              <w:top w:w="15" w:type="dxa"/>
              <w:bottom w:w="15" w:type="dxa"/>
            </w:tcMar>
          </w:tcPr>
          <w:p>
            <w:pPr>
              <w:spacing w:before="0" w:after="0" w:line="240" w:lineRule="auto"/>
              <w:jc w:val="center"/>
            </w:pPr>
            <w:r/>
            <w:r>
              <w:rPr>
                <w:rFonts w:ascii="Times New Roman" w:hAnsi="Times New Roman" w:eastAsia="Times New Roman"/>
                <w:b w:val="0"/>
                <w:i w:val="0"/>
                <w:sz w:val="16"/>
              </w:rPr>
              <w:t>No</w:t>
            </w:r>
          </w:p>
        </w:tc>
        <w:tc>
          <w:tcPr>
            <w:tcW w:type="dxa" w:w="1361"/>
            <w:tcMar>
              <w:top w:w="15" w:type="dxa"/>
              <w:bottom w:w="15" w:type="dxa"/>
            </w:tcMar>
          </w:tcPr>
          <w:p>
            <w:pPr>
              <w:spacing w:before="0" w:after="0" w:line="240" w:lineRule="auto"/>
              <w:jc w:val="center"/>
            </w:pPr>
            <w:r/>
            <w:r>
              <w:rPr>
                <w:rFonts w:ascii="Times New Roman" w:hAnsi="Times New Roman" w:eastAsia="Times New Roman"/>
                <w:b w:val="0"/>
                <w:i w:val="0"/>
                <w:sz w:val="16"/>
              </w:rPr>
              <w:t>Forecast error</w:t>
            </w:r>
          </w:p>
        </w:tc>
        <w:tc>
          <w:tcPr>
            <w:tcW w:type="dxa" w:w="1191"/>
            <w:tcMar>
              <w:top w:w="15" w:type="dxa"/>
              <w:bottom w:w="15" w:type="dxa"/>
            </w:tcMar>
          </w:tcPr>
          <w:p>
            <w:pPr>
              <w:spacing w:before="0" w:after="0" w:line="240" w:lineRule="auto"/>
              <w:jc w:val="center"/>
            </w:pPr>
            <w:r/>
            <w:r>
              <w:rPr>
                <w:rFonts w:ascii="Times New Roman" w:hAnsi="Times New Roman" w:eastAsia="Times New Roman"/>
                <w:b w:val="0"/>
                <w:i w:val="0"/>
                <w:sz w:val="16"/>
              </w:rPr>
              <w:t>No</w:t>
            </w:r>
          </w:p>
        </w:tc>
      </w:tr>
      <w:tr>
        <w:tc>
          <w:tcPr>
            <w:tcW w:type="dxa" w:w="1644"/>
            <w:tcMar>
              <w:top w:w="15" w:type="dxa"/>
              <w:bottom w:w="15" w:type="dxa"/>
            </w:tcMar>
          </w:tcPr>
          <w:p>
            <w:pPr>
              <w:spacing w:before="0" w:after="0" w:line="240" w:lineRule="auto"/>
              <w:jc w:val="left"/>
            </w:pPr>
            <w:r/>
            <w:r>
              <w:rPr>
                <w:rFonts w:ascii="Times New Roman" w:hAnsi="Times New Roman" w:eastAsia="Times New Roman"/>
                <w:b/>
                <w:i w:val="0"/>
                <w:sz w:val="16"/>
              </w:rPr>
              <w:t>This study</w:t>
            </w:r>
          </w:p>
        </w:tc>
        <w:tc>
          <w:tcPr>
            <w:tcW w:type="dxa" w:w="1644"/>
            <w:tcMar>
              <w:top w:w="15" w:type="dxa"/>
              <w:bottom w:w="15" w:type="dxa"/>
            </w:tcMar>
          </w:tcPr>
          <w:p>
            <w:pPr>
              <w:spacing w:before="0" w:after="0" w:line="240" w:lineRule="auto"/>
              <w:jc w:val="left"/>
            </w:pPr>
            <w:r/>
            <w:r>
              <w:rPr>
                <w:rFonts w:ascii="Times New Roman" w:hAnsi="Times New Roman" w:eastAsia="Times New Roman"/>
                <w:b/>
                <w:i w:val="0"/>
                <w:sz w:val="16"/>
              </w:rPr>
              <w:t>SAMSAT Banten PKB transactions 2021–2024</w:t>
            </w:r>
          </w:p>
        </w:tc>
        <w:tc>
          <w:tcPr>
            <w:tcW w:type="dxa" w:w="2041"/>
            <w:tcMar>
              <w:top w:w="15" w:type="dxa"/>
              <w:bottom w:w="15" w:type="dxa"/>
            </w:tcMar>
          </w:tcPr>
          <w:p>
            <w:pPr>
              <w:spacing w:before="0" w:after="0" w:line="240" w:lineRule="auto"/>
              <w:jc w:val="left"/>
            </w:pPr>
            <w:r/>
            <w:r>
              <w:rPr>
                <w:rFonts w:ascii="Times New Roman" w:hAnsi="Times New Roman" w:eastAsia="Times New Roman"/>
                <w:b/>
                <w:i w:val="0"/>
                <w:sz w:val="16"/>
              </w:rPr>
              <w:t>11 rules + IF/LOF/AE, max fusion, hybrid score</w:t>
            </w:r>
          </w:p>
        </w:tc>
        <w:tc>
          <w:tcPr>
            <w:tcW w:type="dxa" w:w="850"/>
            <w:tcMar>
              <w:top w:w="15" w:type="dxa"/>
              <w:bottom w:w="15" w:type="dxa"/>
            </w:tcMar>
          </w:tcPr>
          <w:p>
            <w:pPr>
              <w:spacing w:before="0" w:after="0" w:line="240" w:lineRule="auto"/>
              <w:jc w:val="center"/>
            </w:pPr>
            <w:r/>
            <w:r>
              <w:rPr>
                <w:rFonts w:ascii="Times New Roman" w:hAnsi="Times New Roman" w:eastAsia="Times New Roman"/>
                <w:b/>
                <w:i w:val="0"/>
                <w:sz w:val="16"/>
              </w:rPr>
              <w:t>Yes</w:t>
            </w:r>
          </w:p>
        </w:tc>
        <w:tc>
          <w:tcPr>
            <w:tcW w:type="dxa" w:w="1361"/>
            <w:tcMar>
              <w:top w:w="15" w:type="dxa"/>
              <w:bottom w:w="15" w:type="dxa"/>
            </w:tcMar>
          </w:tcPr>
          <w:p>
            <w:pPr>
              <w:spacing w:before="0" w:after="0" w:line="240" w:lineRule="auto"/>
              <w:jc w:val="left"/>
            </w:pPr>
            <w:r/>
            <w:r>
              <w:rPr>
                <w:rFonts w:ascii="Times New Roman" w:hAnsi="Times New Roman" w:eastAsia="Times New Roman"/>
                <w:b/>
                <w:i w:val="0"/>
                <w:sz w:val="16"/>
              </w:rPr>
              <w:t>8 injected types × 10 runs, temporal test</w:t>
            </w:r>
          </w:p>
        </w:tc>
        <w:tc>
          <w:tcPr>
            <w:tcW w:type="dxa" w:w="1191"/>
            <w:tcMar>
              <w:top w:w="15" w:type="dxa"/>
              <w:bottom w:w="15" w:type="dxa"/>
            </w:tcMar>
          </w:tcPr>
          <w:p>
            <w:pPr>
              <w:spacing w:before="0" w:after="0" w:line="240" w:lineRule="auto"/>
              <w:jc w:val="left"/>
            </w:pPr>
            <w:r/>
            <w:r>
              <w:rPr>
                <w:rFonts w:ascii="Times New Roman" w:hAnsi="Times New Roman" w:eastAsia="Times New Roman"/>
                <w:b/>
                <w:i w:val="0"/>
                <w:sz w:val="16"/>
              </w:rPr>
              <w:t>Yes (6 dimensions + code JSD)</w:t>
            </w:r>
          </w:p>
        </w:tc>
      </w:tr>
    </w:tbl>
    <w:p>
      <w:pPr>
        <w:spacing w:before="0" w:after="0" w:line="240" w:lineRule="auto"/>
        <w:jc w:val="both"/>
      </w:pPr>
    </w:p>
    <w:p>
      <w:pPr>
        <w:spacing w:before="0" w:after="0" w:line="240" w:lineRule="auto"/>
        <w:jc w:val="both"/>
      </w:pPr>
      <w:r>
        <w:rPr>
          <w:rFonts w:ascii="Times New Roman" w:hAnsi="Times New Roman" w:eastAsia="Times New Roman"/>
          <w:b/>
          <w:i w:val="0"/>
          <w:sz w:val="20"/>
        </w:rPr>
        <w:t>Proposed solution and novelty.</w:t>
      </w:r>
      <w:r>
        <w:rPr>
          <w:rFonts w:ascii="Times New Roman" w:hAnsi="Times New Roman" w:eastAsia="Times New Roman"/>
          <w:b w:val="0"/>
          <w:i w:val="0"/>
          <w:sz w:val="20"/>
        </w:rPr>
        <w:t xml:space="preserve"> We propose a three-layer hybrid framework for SAMSAT transactions: the first layer is a domain rule engine (R01–R11) whose code profile is derived from reference data; the second is an ensemble of Isolation Forest, LOF and an autoencoder with maximum-percentile fusion; the third merges both into an audit priority list with reason codes. The novelty lies in: (1) an operational catalogue of PKB data-quality rules mapped to six data-quality dimensions; (2) Jensen–Shannon-divergence-based detection and harmonisation of coding-scheme drift before rules and models are run; (3) domain features (penalty ratios, per-type value z-scores, BBNKB/PKB ratio) that demonstrably strengthen unsupervised detectors; and (4) a label-free evaluation protocol with eight injected anomaly types, ten runs, temporal validation and Friedman–Wilcoxon tests.</w:t>
      </w:r>
    </w:p>
    <w:p>
      <w:pPr>
        <w:spacing w:before="0" w:after="0" w:line="240" w:lineRule="auto"/>
        <w:jc w:val="both"/>
      </w:pPr>
    </w:p>
    <w:p>
      <w:pPr>
        <w:keepNext/>
        <w:spacing w:before="0" w:after="60" w:line="240" w:lineRule="auto"/>
        <w:jc w:val="left"/>
      </w:pPr>
      <w:r>
        <w:rPr>
          <w:rFonts w:ascii="Times New Roman" w:hAnsi="Times New Roman" w:eastAsia="Times New Roman"/>
          <w:b/>
          <w:i w:val="0"/>
          <w:sz w:val="20"/>
        </w:rPr>
        <w:t>2. Methodology</w:t>
      </w:r>
    </w:p>
    <w:p>
      <w:pPr>
        <w:spacing w:before="0" w:after="0" w:line="240" w:lineRule="auto"/>
        <w:jc w:val="both"/>
      </w:pPr>
      <w:r>
        <w:rPr>
          <w:rFonts w:ascii="Times New Roman" w:hAnsi="Times New Roman" w:eastAsia="Times New Roman"/>
          <w:b w:val="0"/>
          <w:i w:val="0"/>
          <w:sz w:val="20"/>
        </w:rPr>
        <w:t>The research stages are shown in Figure 1. All experiments were run in Python (pandas, scikit-learn 1.9.1) with random seed 42 and cross-checked in Google Colab with a notebook identical to the script.</w:t>
      </w:r>
    </w:p>
    <w:p>
      <w:pPr>
        <w:keepNext/>
        <w:spacing w:before="80" w:after="0" w:line="240" w:lineRule="auto"/>
        <w:jc w:val="center"/>
      </w:pPr>
      <w:r>
        <w:drawing>
          <wp:inline xmlns:a="http://schemas.openxmlformats.org/drawingml/2006/main" xmlns:pic="http://schemas.openxmlformats.org/drawingml/2006/picture">
            <wp:extent cx="3960000" cy="5681933"/>
            <wp:docPr id="1" name="Picture 1"/>
            <wp:cNvGraphicFramePr>
              <a:graphicFrameLocks noChangeAspect="1"/>
            </wp:cNvGraphicFramePr>
            <a:graphic>
              <a:graphicData uri="http://schemas.openxmlformats.org/drawingml/2006/picture">
                <pic:pic>
                  <pic:nvPicPr>
                    <pic:cNvPr id="0" name="F01_flowchart_metode.png"/>
                    <pic:cNvPicPr/>
                  </pic:nvPicPr>
                  <pic:blipFill>
                    <a:blip r:embed="rId13"/>
                    <a:stretch>
                      <a:fillRect/>
                    </a:stretch>
                  </pic:blipFill>
                  <pic:spPr>
                    <a:xfrm>
                      <a:off x="0" y="0"/>
                      <a:ext cx="3960000" cy="5681933"/>
                    </a:xfrm>
                    <a:prstGeom prst="rect"/>
                  </pic:spPr>
                </pic:pic>
              </a:graphicData>
            </a:graphic>
          </wp:inline>
        </w:drawing>
      </w:r>
    </w:p>
    <w:p>
      <w:pPr>
        <w:spacing w:before="0" w:after="80" w:line="240" w:lineRule="auto"/>
        <w:jc w:val="center"/>
      </w:pPr>
      <w:r>
        <w:rPr>
          <w:rFonts w:ascii="Times New Roman" w:hAnsi="Times New Roman" w:eastAsia="Times New Roman"/>
          <w:b w:val="0"/>
          <w:i w:val="0"/>
          <w:sz w:val="18"/>
        </w:rPr>
        <w:t>Figure 1: Flowchart of the research method (three detection layers and evaluation)</w:t>
      </w:r>
    </w:p>
    <w:p>
      <w:pPr>
        <w:keepNext/>
        <w:spacing w:before="80" w:after="40" w:line="240" w:lineRule="auto"/>
        <w:jc w:val="left"/>
      </w:pPr>
      <w:r>
        <w:rPr>
          <w:rFonts w:ascii="Times New Roman" w:hAnsi="Times New Roman" w:eastAsia="Times New Roman"/>
          <w:b/>
          <w:i w:val="0"/>
          <w:sz w:val="20"/>
        </w:rPr>
        <w:t>2.1 Data and pre-processing</w:t>
      </w:r>
    </w:p>
    <w:p>
      <w:pPr>
        <w:spacing w:before="0" w:after="0" w:line="240" w:lineRule="auto"/>
        <w:jc w:val="both"/>
      </w:pPr>
      <w:r>
        <w:rPr>
          <w:rFonts w:ascii="Times New Roman" w:hAnsi="Times New Roman" w:eastAsia="Times New Roman"/>
          <w:b w:val="0"/>
          <w:i w:val="0"/>
          <w:sz w:val="20"/>
        </w:rPr>
        <w:t>The data are ISQL-WEB SAMSAT Banten exports for May–June 2021, 2022, 2023 and 2024 (four files, 193,913 rows). After removing 14 title and repeated-header rows, 193,899 transactions with 24 attributes remained: status code, application type (kd_jen_mohon), mutation type (kd_jen_mutasi), location, regency/city, vehicle type (kd_jenis_kb), brand, payment date, BBNKB principal and penalty, current-year PKB principal and penalty, and five years of arrears principal and penalties. Licence plates were used only for format and duplicate checks and then replaced with SHA-256 pseudonyms; names and addresses were never processed. The data were obtained through SAMSAT officers for experimental purposes and analysed in pseudonymised form.</w:t>
      </w:r>
    </w:p>
    <w:p>
      <w:pPr>
        <w:keepNext/>
        <w:spacing w:before="80" w:after="40" w:line="240" w:lineRule="auto"/>
        <w:jc w:val="left"/>
      </w:pPr>
      <w:r>
        <w:rPr>
          <w:rFonts w:ascii="Times New Roman" w:hAnsi="Times New Roman" w:eastAsia="Times New Roman"/>
          <w:b/>
          <w:i w:val="0"/>
          <w:sz w:val="20"/>
        </w:rPr>
        <w:t>2.2 Coding-scheme drift detection</w:t>
      </w:r>
    </w:p>
    <w:p>
      <w:pPr>
        <w:spacing w:before="0" w:after="0" w:line="240" w:lineRule="auto"/>
        <w:jc w:val="both"/>
      </w:pPr>
      <w:r>
        <w:rPr>
          <w:rFonts w:ascii="Times New Roman" w:hAnsi="Times New Roman" w:eastAsia="Times New Roman"/>
          <w:b w:val="0"/>
          <w:i w:val="0"/>
          <w:sz w:val="20"/>
        </w:rPr>
        <w:t xml:space="preserve">The distribution of each categorical attribute in year </w:t>
      </w:r>
      <w:r>
        <w:rPr>
          <w:rFonts w:ascii="Times New Roman" w:hAnsi="Times New Roman" w:eastAsia="Times New Roman"/>
          <w:b w:val="0"/>
          <w:i/>
          <w:sz w:val="20"/>
        </w:rPr>
        <w:t>y</w:t>
      </w:r>
      <w:r>
        <w:rPr>
          <w:rFonts w:ascii="Times New Roman" w:hAnsi="Times New Roman" w:eastAsia="Times New Roman"/>
          <w:b w:val="0"/>
          <w:i w:val="0"/>
          <w:sz w:val="20"/>
        </w:rPr>
        <w:t xml:space="preserve"> was compared with the other reference years using the Jensen–Shannon divergence (JSD) with log</w:t>
      </w:r>
      <w:r>
        <w:rPr>
          <w:rFonts w:ascii="Times New Roman" w:hAnsi="Times New Roman" w:eastAsia="Times New Roman"/>
          <w:b w:val="0"/>
          <w:i w:val="0"/>
          <w:sz w:val="20"/>
          <w:vertAlign w:val="subscript"/>
        </w:rPr>
        <w:t>2</w:t>
      </w:r>
      <w:r>
        <w:rPr>
          <w:rFonts w:ascii="Times New Roman" w:hAnsi="Times New Roman" w:eastAsia="Times New Roman"/>
          <w:b w:val="0"/>
          <w:i w:val="0"/>
          <w:sz w:val="20"/>
        </w:rPr>
        <w:t xml:space="preserve"> (range 0–1):</w:t>
      </w:r>
    </w:p>
    <w:tbl>
      <w:tblPr>
        <w:tblW w:type="auto" w:w="0"/>
        <w:jc w:val="center"/>
        <w:tblLook w:firstColumn="1" w:firstRow="1" w:lastColumn="0" w:lastRow="0" w:noHBand="0" w:noVBand="1" w:val="04A0"/>
      </w:tblPr>
      <w:tblGrid>
        <w:gridCol w:w="7937"/>
        <w:gridCol w:w="794"/>
      </w:tblGrid>
      <w:tr>
        <w:tc>
          <w:tcPr>
            <w:tcW w:type="dxa" w:w="7937"/>
          </w:tcPr>
          <w:p>
            <w:pPr>
              <w:spacing w:before="40" w:after="40" w:line="240" w:lineRule="auto"/>
              <w:jc w:val="center"/>
            </w:pPr>
            <w:r>
              <w:rPr>
                <w:rFonts w:ascii="Times New Roman" w:hAnsi="Times New Roman" w:eastAsia="Times New Roman"/>
                <w:b w:val="0"/>
                <w:i w:val="0"/>
                <w:sz w:val="20"/>
              </w:rPr>
              <w:t>JSD(P‖Q) = ½·KL(P‖M) + ½·KL(Q‖M),   M = ½(P + Q)</w:t>
            </w:r>
          </w:p>
        </w:tc>
        <w:tc>
          <w:tcPr>
            <w:tcW w:type="dxa" w:w="794"/>
          </w:tcPr>
          <w:p>
            <w:pPr>
              <w:spacing w:before="40" w:after="40" w:line="240" w:lineRule="auto"/>
              <w:jc w:val="right"/>
            </w:pPr>
            <w:r>
              <w:rPr>
                <w:rFonts w:ascii="Times New Roman" w:hAnsi="Times New Roman" w:eastAsia="Times New Roman"/>
                <w:b w:val="0"/>
                <w:i w:val="0"/>
                <w:sz w:val="20"/>
              </w:rPr>
              <w:t>(1)</w:t>
            </w:r>
          </w:p>
        </w:tc>
      </w:tr>
    </w:tbl>
    <w:p>
      <w:pPr>
        <w:spacing w:before="0" w:after="0" w:line="240" w:lineRule="auto"/>
        <w:jc w:val="both"/>
      </w:pPr>
      <w:r>
        <w:rPr>
          <w:rFonts w:ascii="Times New Roman" w:hAnsi="Times New Roman" w:eastAsia="Times New Roman"/>
          <w:b w:val="0"/>
          <w:i w:val="0"/>
          <w:sz w:val="20"/>
        </w:rPr>
        <w:t>Codes that appear or disappear simultaneously with equivalent volume are treated as recoding and harmonised before rules and models are run (Section 3.1).</w:t>
      </w:r>
    </w:p>
    <w:p>
      <w:pPr>
        <w:keepNext/>
        <w:spacing w:before="80" w:after="40" w:line="240" w:lineRule="auto"/>
        <w:jc w:val="left"/>
      </w:pPr>
      <w:r>
        <w:rPr>
          <w:rFonts w:ascii="Times New Roman" w:hAnsi="Times New Roman" w:eastAsia="Times New Roman"/>
          <w:b/>
          <w:i w:val="0"/>
          <w:sz w:val="20"/>
        </w:rPr>
        <w:t>2.3 Domain rule engine</w:t>
      </w:r>
    </w:p>
    <w:p>
      <w:pPr>
        <w:spacing w:before="0" w:after="0" w:line="240" w:lineRule="auto"/>
        <w:jc w:val="both"/>
      </w:pPr>
      <w:r>
        <w:rPr>
          <w:rFonts w:ascii="Times New Roman" w:hAnsi="Times New Roman" w:eastAsia="Times New Roman"/>
          <w:b w:val="0"/>
          <w:i w:val="0"/>
          <w:sz w:val="20"/>
        </w:rPr>
        <w:t>Eleven rules (Table 2) were built from PKB tariff logic and code patterns in the 2021–2023 reference years and mapped to the consistency, accuracy, plausibility and uniqueness dimensions [5]. Because the official code dictionary was unavailable, code consistency (R07, R08) was derived from data: application–mutation pairs with &lt; 0.5% share within their application code (or n &lt; 30) are considered unusual, while pairs that carry BBNKB in ≥ 95% (≤ 5%) of cases define the BBNKB-required (BBNKB-free) reference. Implausible PKB values for a vehicle type (R09) use a robust z-score:</w:t>
      </w:r>
    </w:p>
    <w:tbl>
      <w:tblPr>
        <w:tblW w:type="auto" w:w="0"/>
        <w:jc w:val="center"/>
        <w:tblLook w:firstColumn="1" w:firstRow="1" w:lastColumn="0" w:lastRow="0" w:noHBand="0" w:noVBand="1" w:val="04A0"/>
      </w:tblPr>
      <w:tblGrid>
        <w:gridCol w:w="7937"/>
        <w:gridCol w:w="794"/>
      </w:tblGrid>
      <w:tr>
        <w:tc>
          <w:tcPr>
            <w:tcW w:type="dxa" w:w="7937"/>
          </w:tcPr>
          <w:p>
            <w:pPr>
              <w:spacing w:before="40" w:after="40" w:line="240" w:lineRule="auto"/>
              <w:jc w:val="center"/>
            </w:pPr>
            <w:r>
              <w:rPr>
                <w:rFonts w:ascii="Times New Roman" w:hAnsi="Times New Roman" w:eastAsia="Times New Roman"/>
                <w:b w:val="0"/>
                <w:i w:val="0"/>
                <w:sz w:val="20"/>
              </w:rPr>
              <w:t>z</w:t>
            </w:r>
            <w:r>
              <w:rPr>
                <w:rFonts w:ascii="Times New Roman" w:hAnsi="Times New Roman" w:eastAsia="Times New Roman"/>
                <w:b w:val="0"/>
                <w:i w:val="0"/>
                <w:sz w:val="20"/>
                <w:vertAlign w:val="subscript"/>
              </w:rPr>
              <w:t>i</w:t>
            </w:r>
            <w:r>
              <w:rPr>
                <w:rFonts w:ascii="Times New Roman" w:hAnsi="Times New Roman" w:eastAsia="Times New Roman"/>
                <w:b w:val="0"/>
                <w:i w:val="0"/>
                <w:sz w:val="20"/>
              </w:rPr>
              <w:t xml:space="preserve"> = (log</w:t>
            </w:r>
            <w:r>
              <w:rPr>
                <w:rFonts w:ascii="Times New Roman" w:hAnsi="Times New Roman" w:eastAsia="Times New Roman"/>
                <w:b w:val="0"/>
                <w:i w:val="0"/>
                <w:sz w:val="20"/>
                <w:vertAlign w:val="subscript"/>
              </w:rPr>
              <w:t>10</w:t>
            </w:r>
            <w:r>
              <w:rPr>
                <w:rFonts w:ascii="Times New Roman" w:hAnsi="Times New Roman" w:eastAsia="Times New Roman"/>
                <w:b w:val="0"/>
                <w:i w:val="0"/>
                <w:sz w:val="20"/>
              </w:rPr>
              <w:t xml:space="preserve"> PKB</w:t>
            </w:r>
            <w:r>
              <w:rPr>
                <w:rFonts w:ascii="Times New Roman" w:hAnsi="Times New Roman" w:eastAsia="Times New Roman"/>
                <w:b w:val="0"/>
                <w:i w:val="0"/>
                <w:sz w:val="20"/>
                <w:vertAlign w:val="subscript"/>
              </w:rPr>
              <w:t>i</w:t>
            </w:r>
            <w:r>
              <w:rPr>
                <w:rFonts w:ascii="Times New Roman" w:hAnsi="Times New Roman" w:eastAsia="Times New Roman"/>
                <w:b w:val="0"/>
                <w:i w:val="0"/>
                <w:sz w:val="20"/>
              </w:rPr>
              <w:t xml:space="preserve"> − med</w:t>
            </w:r>
            <w:r>
              <w:rPr>
                <w:rFonts w:ascii="Times New Roman" w:hAnsi="Times New Roman" w:eastAsia="Times New Roman"/>
                <w:b w:val="0"/>
                <w:i w:val="0"/>
                <w:sz w:val="20"/>
                <w:vertAlign w:val="subscript"/>
              </w:rPr>
              <w:t>g</w:t>
            </w:r>
            <w:r>
              <w:rPr>
                <w:rFonts w:ascii="Times New Roman" w:hAnsi="Times New Roman" w:eastAsia="Times New Roman"/>
                <w:b w:val="0"/>
                <w:i w:val="0"/>
                <w:sz w:val="20"/>
              </w:rPr>
              <w:t>) / max(MAD</w:t>
            </w:r>
            <w:r>
              <w:rPr>
                <w:rFonts w:ascii="Times New Roman" w:hAnsi="Times New Roman" w:eastAsia="Times New Roman"/>
                <w:b w:val="0"/>
                <w:i w:val="0"/>
                <w:sz w:val="20"/>
                <w:vertAlign w:val="subscript"/>
              </w:rPr>
              <w:t>g</w:t>
            </w:r>
            <w:r>
              <w:rPr>
                <w:rFonts w:ascii="Times New Roman" w:hAnsi="Times New Roman" w:eastAsia="Times New Roman"/>
                <w:b w:val="0"/>
                <w:i w:val="0"/>
                <w:sz w:val="20"/>
              </w:rPr>
              <w:t>, 0.05),   |z</w:t>
            </w:r>
            <w:r>
              <w:rPr>
                <w:rFonts w:ascii="Times New Roman" w:hAnsi="Times New Roman" w:eastAsia="Times New Roman"/>
                <w:b w:val="0"/>
                <w:i w:val="0"/>
                <w:sz w:val="20"/>
                <w:vertAlign w:val="subscript"/>
              </w:rPr>
              <w:t>i</w:t>
            </w:r>
            <w:r>
              <w:rPr>
                <w:rFonts w:ascii="Times New Roman" w:hAnsi="Times New Roman" w:eastAsia="Times New Roman"/>
                <w:b w:val="0"/>
                <w:i w:val="0"/>
                <w:sz w:val="20"/>
              </w:rPr>
              <w:t>| &gt; 3.5 ⇒ R09</w:t>
            </w:r>
          </w:p>
        </w:tc>
        <w:tc>
          <w:tcPr>
            <w:tcW w:type="dxa" w:w="794"/>
          </w:tcPr>
          <w:p>
            <w:pPr>
              <w:spacing w:before="40" w:after="40" w:line="240" w:lineRule="auto"/>
              <w:jc w:val="right"/>
            </w:pPr>
            <w:r>
              <w:rPr>
                <w:rFonts w:ascii="Times New Roman" w:hAnsi="Times New Roman" w:eastAsia="Times New Roman"/>
                <w:b w:val="0"/>
                <w:i w:val="0"/>
                <w:sz w:val="20"/>
              </w:rPr>
              <w:t>(2)</w:t>
            </w:r>
          </w:p>
        </w:tc>
      </w:tr>
    </w:tbl>
    <w:p>
      <w:pPr>
        <w:spacing w:before="0" w:after="0" w:line="240" w:lineRule="auto"/>
        <w:jc w:val="both"/>
      </w:pPr>
      <w:r>
        <w:rPr>
          <w:rFonts w:ascii="Times New Roman" w:hAnsi="Times New Roman" w:eastAsia="Times New Roman"/>
          <w:b w:val="0"/>
          <w:i w:val="0"/>
          <w:sz w:val="20"/>
        </w:rPr>
        <w:t xml:space="preserve">where </w:t>
      </w:r>
      <w:r>
        <w:rPr>
          <w:rFonts w:ascii="Times New Roman" w:hAnsi="Times New Roman" w:eastAsia="Times New Roman"/>
          <w:b w:val="0"/>
          <w:i/>
          <w:sz w:val="20"/>
        </w:rPr>
        <w:t>g</w:t>
      </w:r>
      <w:r>
        <w:rPr>
          <w:rFonts w:ascii="Times New Roman" w:hAnsi="Times New Roman" w:eastAsia="Times New Roman"/>
          <w:b w:val="0"/>
          <w:i w:val="0"/>
          <w:sz w:val="20"/>
        </w:rPr>
        <w:t xml:space="preserve"> is the vehicle-type code and med</w:t>
      </w:r>
      <w:r>
        <w:rPr>
          <w:rFonts w:ascii="Times New Roman" w:hAnsi="Times New Roman" w:eastAsia="Times New Roman"/>
          <w:b w:val="0"/>
          <w:i w:val="0"/>
          <w:sz w:val="20"/>
          <w:vertAlign w:val="subscript"/>
        </w:rPr>
        <w:t>g</w:t>
      </w:r>
      <w:r>
        <w:rPr>
          <w:rFonts w:ascii="Times New Roman" w:hAnsi="Times New Roman" w:eastAsia="Times New Roman"/>
          <w:b w:val="0"/>
          <w:i w:val="0"/>
          <w:sz w:val="20"/>
        </w:rPr>
        <w:t xml:space="preserve"> and MAD</w:t>
      </w:r>
      <w:r>
        <w:rPr>
          <w:rFonts w:ascii="Times New Roman" w:hAnsi="Times New Roman" w:eastAsia="Times New Roman"/>
          <w:b w:val="0"/>
          <w:i w:val="0"/>
          <w:sz w:val="20"/>
          <w:vertAlign w:val="subscript"/>
        </w:rPr>
        <w:t>g</w:t>
      </w:r>
      <w:r>
        <w:rPr>
          <w:rFonts w:ascii="Times New Roman" w:hAnsi="Times New Roman" w:eastAsia="Times New Roman"/>
          <w:b w:val="0"/>
          <w:i w:val="0"/>
          <w:sz w:val="20"/>
        </w:rPr>
        <w:t xml:space="preserve"> are the median and normal-scaled median absolute deviation in the reference data. The rule score is the weighted sum of violations (weights 1–3, Table 2).</w:t>
      </w:r>
    </w:p>
    <w:p>
      <w:pPr>
        <w:keepNext/>
        <w:spacing w:before="80" w:after="0" w:line="240" w:lineRule="auto"/>
        <w:jc w:val="center"/>
      </w:pPr>
      <w:r>
        <w:rPr>
          <w:rFonts w:ascii="Times New Roman" w:hAnsi="Times New Roman" w:eastAsia="Times New Roman"/>
          <w:b w:val="0"/>
          <w:i w:val="0"/>
          <w:sz w:val="16"/>
        </w:rPr>
        <w:t>Table 2: Catalogue of domain rules for PKB transaction data quality</w:t>
      </w:r>
    </w:p>
    <w:tbl>
      <w:tblPr>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W w:w="8731" w:type="dxa"/>
        <w:tblLayout w:type="fixed"/>
      </w:tblPr>
      <w:tblGrid>
        <w:gridCol w:w="510"/>
        <w:gridCol w:w="2041"/>
        <w:gridCol w:w="1077"/>
        <w:gridCol w:w="567"/>
        <w:gridCol w:w="4536"/>
      </w:tblGrid>
      <w:tr>
        <w:tc>
          <w:tcPr>
            <w:tcW w:type="dxa" w:w="510"/>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5"/>
              </w:rPr>
              <w:t>ID</w:t>
            </w:r>
          </w:p>
        </w:tc>
        <w:tc>
          <w:tcPr>
            <w:tcW w:type="dxa" w:w="2041"/>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5"/>
              </w:rPr>
              <w:t>Rule</w:t>
            </w:r>
          </w:p>
        </w:tc>
        <w:tc>
          <w:tcPr>
            <w:tcW w:type="dxa" w:w="1077"/>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5"/>
              </w:rPr>
              <w:t>Dimension</w:t>
            </w:r>
          </w:p>
        </w:tc>
        <w:tc>
          <w:tcPr>
            <w:tcW w:type="dxa" w:w="567"/>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5"/>
              </w:rPr>
              <w:t>Weight</w:t>
            </w:r>
          </w:p>
        </w:tc>
        <w:tc>
          <w:tcPr>
            <w:tcW w:type="dxa" w:w="4535"/>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5"/>
              </w:rPr>
              <w:t>Logic</w:t>
            </w:r>
          </w:p>
        </w:tc>
      </w:tr>
      <w:tr>
        <w:tc>
          <w:tcPr>
            <w:tcW w:type="dxa" w:w="510"/>
            <w:tcMar>
              <w:top w:w="15" w:type="dxa"/>
              <w:bottom w:w="15" w:type="dxa"/>
            </w:tcMar>
          </w:tcPr>
          <w:p>
            <w:pPr>
              <w:spacing w:before="0" w:after="0" w:line="240" w:lineRule="auto"/>
              <w:jc w:val="left"/>
            </w:pPr>
            <w:r/>
            <w:r>
              <w:rPr>
                <w:rFonts w:ascii="Times New Roman" w:hAnsi="Times New Roman" w:eastAsia="Times New Roman"/>
                <w:b w:val="0"/>
                <w:i w:val="0"/>
                <w:sz w:val="15"/>
              </w:rPr>
              <w:t>R01</w:t>
            </w:r>
          </w:p>
        </w:tc>
        <w:tc>
          <w:tcPr>
            <w:tcW w:type="dxa" w:w="2041"/>
            <w:tcMar>
              <w:top w:w="15" w:type="dxa"/>
              <w:bottom w:w="15" w:type="dxa"/>
            </w:tcMar>
          </w:tcPr>
          <w:p>
            <w:pPr>
              <w:spacing w:before="0" w:after="0" w:line="240" w:lineRule="auto"/>
              <w:jc w:val="left"/>
            </w:pPr>
            <w:r/>
            <w:r>
              <w:rPr>
                <w:rFonts w:ascii="Times New Roman" w:hAnsi="Times New Roman" w:eastAsia="Times New Roman"/>
                <w:b w:val="0"/>
                <w:i w:val="0"/>
                <w:sz w:val="15"/>
              </w:rPr>
              <w:t>Penalty without arrears</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5"/>
              </w:rPr>
              <w:t>Consistency</w:t>
            </w:r>
          </w:p>
        </w:tc>
        <w:tc>
          <w:tcPr>
            <w:tcW w:type="dxa" w:w="567"/>
            <w:tcMar>
              <w:top w:w="15" w:type="dxa"/>
              <w:bottom w:w="15" w:type="dxa"/>
            </w:tcMar>
          </w:tcPr>
          <w:p>
            <w:pPr>
              <w:spacing w:before="0" w:after="0" w:line="240" w:lineRule="auto"/>
              <w:jc w:val="center"/>
            </w:pPr>
            <w:r/>
            <w:r>
              <w:rPr>
                <w:rFonts w:ascii="Times New Roman" w:hAnsi="Times New Roman" w:eastAsia="Times New Roman"/>
                <w:b w:val="0"/>
                <w:i w:val="0"/>
                <w:sz w:val="15"/>
              </w:rPr>
              <w:t>3</w:t>
            </w:r>
          </w:p>
        </w:tc>
        <w:tc>
          <w:tcPr>
            <w:tcW w:type="dxa" w:w="4535"/>
            <w:tcMar>
              <w:top w:w="15" w:type="dxa"/>
              <w:bottom w:w="15" w:type="dxa"/>
            </w:tcMar>
          </w:tcPr>
          <w:p>
            <w:pPr>
              <w:spacing w:before="0" w:after="0" w:line="240" w:lineRule="auto"/>
              <w:jc w:val="left"/>
            </w:pPr>
            <w:r/>
            <w:r>
              <w:rPr>
                <w:rFonts w:ascii="Times New Roman" w:hAnsi="Times New Roman" w:eastAsia="Times New Roman"/>
                <w:b w:val="0"/>
                <w:i w:val="0"/>
                <w:sz w:val="15"/>
              </w:rPr>
              <w:t>pkbden_k &gt; 0 and pkbtgk_k = 0 (k = 0..4)</w:t>
            </w:r>
          </w:p>
        </w:tc>
      </w:tr>
      <w:tr>
        <w:tc>
          <w:tcPr>
            <w:tcW w:type="dxa" w:w="510"/>
            <w:tcMar>
              <w:top w:w="15" w:type="dxa"/>
              <w:bottom w:w="15" w:type="dxa"/>
            </w:tcMar>
          </w:tcPr>
          <w:p>
            <w:pPr>
              <w:spacing w:before="0" w:after="0" w:line="240" w:lineRule="auto"/>
              <w:jc w:val="left"/>
            </w:pPr>
            <w:r/>
            <w:r>
              <w:rPr>
                <w:rFonts w:ascii="Times New Roman" w:hAnsi="Times New Roman" w:eastAsia="Times New Roman"/>
                <w:b w:val="0"/>
                <w:i w:val="0"/>
                <w:sz w:val="15"/>
              </w:rPr>
              <w:t>R02</w:t>
            </w:r>
          </w:p>
        </w:tc>
        <w:tc>
          <w:tcPr>
            <w:tcW w:type="dxa" w:w="2041"/>
            <w:tcMar>
              <w:top w:w="15" w:type="dxa"/>
              <w:bottom w:w="15" w:type="dxa"/>
            </w:tcMar>
          </w:tcPr>
          <w:p>
            <w:pPr>
              <w:spacing w:before="0" w:after="0" w:line="240" w:lineRule="auto"/>
              <w:jc w:val="left"/>
            </w:pPr>
            <w:r/>
            <w:r>
              <w:rPr>
                <w:rFonts w:ascii="Times New Roman" w:hAnsi="Times New Roman" w:eastAsia="Times New Roman"/>
                <w:b w:val="0"/>
                <w:i w:val="0"/>
                <w:sz w:val="15"/>
              </w:rPr>
              <w:t>Arrears without penalty</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5"/>
              </w:rPr>
              <w:t>Consistency</w:t>
            </w:r>
          </w:p>
        </w:tc>
        <w:tc>
          <w:tcPr>
            <w:tcW w:type="dxa" w:w="567"/>
            <w:tcMar>
              <w:top w:w="15" w:type="dxa"/>
              <w:bottom w:w="15" w:type="dxa"/>
            </w:tcMar>
          </w:tcPr>
          <w:p>
            <w:pPr>
              <w:spacing w:before="0" w:after="0" w:line="240" w:lineRule="auto"/>
              <w:jc w:val="center"/>
            </w:pPr>
            <w:r/>
            <w:r>
              <w:rPr>
                <w:rFonts w:ascii="Times New Roman" w:hAnsi="Times New Roman" w:eastAsia="Times New Roman"/>
                <w:b w:val="0"/>
                <w:i w:val="0"/>
                <w:sz w:val="15"/>
              </w:rPr>
              <w:t>2</w:t>
            </w:r>
          </w:p>
        </w:tc>
        <w:tc>
          <w:tcPr>
            <w:tcW w:type="dxa" w:w="4535"/>
            <w:tcMar>
              <w:top w:w="15" w:type="dxa"/>
              <w:bottom w:w="15" w:type="dxa"/>
            </w:tcMar>
          </w:tcPr>
          <w:p>
            <w:pPr>
              <w:spacing w:before="0" w:after="0" w:line="240" w:lineRule="auto"/>
              <w:jc w:val="left"/>
            </w:pPr>
            <w:r/>
            <w:r>
              <w:rPr>
                <w:rFonts w:ascii="Times New Roman" w:hAnsi="Times New Roman" w:eastAsia="Times New Roman"/>
                <w:b w:val="0"/>
                <w:i w:val="0"/>
                <w:sz w:val="15"/>
              </w:rPr>
              <w:t>pkbtgk_k &gt; 0 and pkbden_k = 0</w:t>
            </w:r>
          </w:p>
        </w:tc>
      </w:tr>
      <w:tr>
        <w:tc>
          <w:tcPr>
            <w:tcW w:type="dxa" w:w="510"/>
            <w:tcMar>
              <w:top w:w="15" w:type="dxa"/>
              <w:bottom w:w="15" w:type="dxa"/>
            </w:tcMar>
          </w:tcPr>
          <w:p>
            <w:pPr>
              <w:spacing w:before="0" w:after="0" w:line="240" w:lineRule="auto"/>
              <w:jc w:val="left"/>
            </w:pPr>
            <w:r/>
            <w:r>
              <w:rPr>
                <w:rFonts w:ascii="Times New Roman" w:hAnsi="Times New Roman" w:eastAsia="Times New Roman"/>
                <w:b w:val="0"/>
                <w:i w:val="0"/>
                <w:sz w:val="15"/>
              </w:rPr>
              <w:t>R03</w:t>
            </w:r>
          </w:p>
        </w:tc>
        <w:tc>
          <w:tcPr>
            <w:tcW w:type="dxa" w:w="2041"/>
            <w:tcMar>
              <w:top w:w="15" w:type="dxa"/>
              <w:bottom w:w="15" w:type="dxa"/>
            </w:tcMar>
          </w:tcPr>
          <w:p>
            <w:pPr>
              <w:spacing w:before="0" w:after="0" w:line="240" w:lineRule="auto"/>
              <w:jc w:val="left"/>
            </w:pPr>
            <w:r/>
            <w:r>
              <w:rPr>
                <w:rFonts w:ascii="Times New Roman" w:hAnsi="Times New Roman" w:eastAsia="Times New Roman"/>
                <w:b w:val="0"/>
                <w:i w:val="0"/>
                <w:sz w:val="15"/>
              </w:rPr>
              <w:t>Off-schedule arrears penalty rate</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5"/>
              </w:rPr>
              <w:t>Accuracy</w:t>
            </w:r>
          </w:p>
        </w:tc>
        <w:tc>
          <w:tcPr>
            <w:tcW w:type="dxa" w:w="567"/>
            <w:tcMar>
              <w:top w:w="15" w:type="dxa"/>
              <w:bottom w:w="15" w:type="dxa"/>
            </w:tcMar>
          </w:tcPr>
          <w:p>
            <w:pPr>
              <w:spacing w:before="0" w:after="0" w:line="240" w:lineRule="auto"/>
              <w:jc w:val="center"/>
            </w:pPr>
            <w:r/>
            <w:r>
              <w:rPr>
                <w:rFonts w:ascii="Times New Roman" w:hAnsi="Times New Roman" w:eastAsia="Times New Roman"/>
                <w:b w:val="0"/>
                <w:i w:val="0"/>
                <w:sz w:val="15"/>
              </w:rPr>
              <w:t>2</w:t>
            </w:r>
          </w:p>
        </w:tc>
        <w:tc>
          <w:tcPr>
            <w:tcW w:type="dxa" w:w="4535"/>
            <w:tcMar>
              <w:top w:w="15" w:type="dxa"/>
              <w:bottom w:w="15" w:type="dxa"/>
            </w:tcMar>
          </w:tcPr>
          <w:p>
            <w:pPr>
              <w:spacing w:before="0" w:after="0" w:line="240" w:lineRule="auto"/>
              <w:jc w:val="left"/>
            </w:pPr>
            <w:r/>
            <w:r>
              <w:rPr>
                <w:rFonts w:ascii="Times New Roman" w:hAnsi="Times New Roman" w:eastAsia="Times New Roman"/>
                <w:b w:val="0"/>
                <w:i w:val="0"/>
                <w:sz w:val="15"/>
              </w:rPr>
              <w:t>penalty_k/arrears_k outside [0.245; 0.2525] (k ≥ 1) or &gt; 0.2525 (k = 0)</w:t>
            </w:r>
          </w:p>
        </w:tc>
      </w:tr>
      <w:tr>
        <w:tc>
          <w:tcPr>
            <w:tcW w:type="dxa" w:w="510"/>
            <w:tcMar>
              <w:top w:w="15" w:type="dxa"/>
              <w:bottom w:w="15" w:type="dxa"/>
            </w:tcMar>
          </w:tcPr>
          <w:p>
            <w:pPr>
              <w:spacing w:before="0" w:after="0" w:line="240" w:lineRule="auto"/>
              <w:jc w:val="left"/>
            </w:pPr>
            <w:r/>
            <w:r>
              <w:rPr>
                <w:rFonts w:ascii="Times New Roman" w:hAnsi="Times New Roman" w:eastAsia="Times New Roman"/>
                <w:b w:val="0"/>
                <w:i w:val="0"/>
                <w:sz w:val="15"/>
              </w:rPr>
              <w:t>R04</w:t>
            </w:r>
          </w:p>
        </w:tc>
        <w:tc>
          <w:tcPr>
            <w:tcW w:type="dxa" w:w="2041"/>
            <w:tcMar>
              <w:top w:w="15" w:type="dxa"/>
              <w:bottom w:w="15" w:type="dxa"/>
            </w:tcMar>
          </w:tcPr>
          <w:p>
            <w:pPr>
              <w:spacing w:before="0" w:after="0" w:line="240" w:lineRule="auto"/>
              <w:jc w:val="left"/>
            </w:pPr>
            <w:r/>
            <w:r>
              <w:rPr>
                <w:rFonts w:ascii="Times New Roman" w:hAnsi="Times New Roman" w:eastAsia="Times New Roman"/>
                <w:b w:val="0"/>
                <w:i w:val="0"/>
                <w:sz w:val="15"/>
              </w:rPr>
              <w:t>Current penalty &gt;25% or without principal</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5"/>
              </w:rPr>
              <w:t>Accuracy</w:t>
            </w:r>
          </w:p>
        </w:tc>
        <w:tc>
          <w:tcPr>
            <w:tcW w:type="dxa" w:w="567"/>
            <w:tcMar>
              <w:top w:w="15" w:type="dxa"/>
              <w:bottom w:w="15" w:type="dxa"/>
            </w:tcMar>
          </w:tcPr>
          <w:p>
            <w:pPr>
              <w:spacing w:before="0" w:after="0" w:line="240" w:lineRule="auto"/>
              <w:jc w:val="center"/>
            </w:pPr>
            <w:r/>
            <w:r>
              <w:rPr>
                <w:rFonts w:ascii="Times New Roman" w:hAnsi="Times New Roman" w:eastAsia="Times New Roman"/>
                <w:b w:val="0"/>
                <w:i w:val="0"/>
                <w:sz w:val="15"/>
              </w:rPr>
              <w:t>2</w:t>
            </w:r>
          </w:p>
        </w:tc>
        <w:tc>
          <w:tcPr>
            <w:tcW w:type="dxa" w:w="4535"/>
            <w:tcMar>
              <w:top w:w="15" w:type="dxa"/>
              <w:bottom w:w="15" w:type="dxa"/>
            </w:tcMar>
          </w:tcPr>
          <w:p>
            <w:pPr>
              <w:spacing w:before="0" w:after="0" w:line="240" w:lineRule="auto"/>
              <w:jc w:val="left"/>
            </w:pPr>
            <w:r/>
            <w:r>
              <w:rPr>
                <w:rFonts w:ascii="Times New Roman" w:hAnsi="Times New Roman" w:eastAsia="Times New Roman"/>
                <w:b w:val="0"/>
                <w:i w:val="0"/>
                <w:sz w:val="15"/>
              </w:rPr>
              <w:t>pkbden/pkbpok &gt; 0.2525 or pkbden &gt; 0 with pkbpok = 0</w:t>
            </w:r>
          </w:p>
        </w:tc>
      </w:tr>
      <w:tr>
        <w:tc>
          <w:tcPr>
            <w:tcW w:type="dxa" w:w="510"/>
            <w:tcMar>
              <w:top w:w="15" w:type="dxa"/>
              <w:bottom w:w="15" w:type="dxa"/>
            </w:tcMar>
          </w:tcPr>
          <w:p>
            <w:pPr>
              <w:spacing w:before="0" w:after="0" w:line="240" w:lineRule="auto"/>
              <w:jc w:val="left"/>
            </w:pPr>
            <w:r/>
            <w:r>
              <w:rPr>
                <w:rFonts w:ascii="Times New Roman" w:hAnsi="Times New Roman" w:eastAsia="Times New Roman"/>
                <w:b w:val="0"/>
                <w:i w:val="0"/>
                <w:sz w:val="15"/>
              </w:rPr>
              <w:t>R05</w:t>
            </w:r>
          </w:p>
        </w:tc>
        <w:tc>
          <w:tcPr>
            <w:tcW w:type="dxa" w:w="2041"/>
            <w:tcMar>
              <w:top w:w="15" w:type="dxa"/>
              <w:bottom w:w="15" w:type="dxa"/>
            </w:tcMar>
          </w:tcPr>
          <w:p>
            <w:pPr>
              <w:spacing w:before="0" w:after="0" w:line="240" w:lineRule="auto"/>
              <w:jc w:val="left"/>
            </w:pPr>
            <w:r/>
            <w:r>
              <w:rPr>
                <w:rFonts w:ascii="Times New Roman" w:hAnsi="Times New Roman" w:eastAsia="Times New Roman"/>
                <w:b w:val="0"/>
                <w:i w:val="0"/>
                <w:sz w:val="15"/>
              </w:rPr>
              <w:t>Non-contiguous arrears pattern</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5"/>
              </w:rPr>
              <w:t>Consistency</w:t>
            </w:r>
          </w:p>
        </w:tc>
        <w:tc>
          <w:tcPr>
            <w:tcW w:type="dxa" w:w="567"/>
            <w:tcMar>
              <w:top w:w="15" w:type="dxa"/>
              <w:bottom w:w="15" w:type="dxa"/>
            </w:tcMar>
          </w:tcPr>
          <w:p>
            <w:pPr>
              <w:spacing w:before="0" w:after="0" w:line="240" w:lineRule="auto"/>
              <w:jc w:val="center"/>
            </w:pPr>
            <w:r/>
            <w:r>
              <w:rPr>
                <w:rFonts w:ascii="Times New Roman" w:hAnsi="Times New Roman" w:eastAsia="Times New Roman"/>
                <w:b w:val="0"/>
                <w:i w:val="0"/>
                <w:sz w:val="15"/>
              </w:rPr>
              <w:t>2</w:t>
            </w:r>
          </w:p>
        </w:tc>
        <w:tc>
          <w:tcPr>
            <w:tcW w:type="dxa" w:w="4535"/>
            <w:tcMar>
              <w:top w:w="15" w:type="dxa"/>
              <w:bottom w:w="15" w:type="dxa"/>
            </w:tcMar>
          </w:tcPr>
          <w:p>
            <w:pPr>
              <w:spacing w:before="0" w:after="0" w:line="240" w:lineRule="auto"/>
              <w:jc w:val="left"/>
            </w:pPr>
            <w:r/>
            <w:r>
              <w:rPr>
                <w:rFonts w:ascii="Times New Roman" w:hAnsi="Times New Roman" w:eastAsia="Times New Roman"/>
                <w:b w:val="0"/>
                <w:i w:val="0"/>
                <w:sz w:val="15"/>
              </w:rPr>
              <w:t>arrears in year k+1 present while year k is empty</w:t>
            </w:r>
          </w:p>
        </w:tc>
      </w:tr>
      <w:tr>
        <w:tc>
          <w:tcPr>
            <w:tcW w:type="dxa" w:w="510"/>
            <w:tcMar>
              <w:top w:w="15" w:type="dxa"/>
              <w:bottom w:w="15" w:type="dxa"/>
            </w:tcMar>
          </w:tcPr>
          <w:p>
            <w:pPr>
              <w:spacing w:before="0" w:after="0" w:line="240" w:lineRule="auto"/>
              <w:jc w:val="left"/>
            </w:pPr>
            <w:r/>
            <w:r>
              <w:rPr>
                <w:rFonts w:ascii="Times New Roman" w:hAnsi="Times New Roman" w:eastAsia="Times New Roman"/>
                <w:b w:val="0"/>
                <w:i w:val="0"/>
                <w:sz w:val="15"/>
              </w:rPr>
              <w:t>R06</w:t>
            </w:r>
          </w:p>
        </w:tc>
        <w:tc>
          <w:tcPr>
            <w:tcW w:type="dxa" w:w="2041"/>
            <w:tcMar>
              <w:top w:w="15" w:type="dxa"/>
              <w:bottom w:w="15" w:type="dxa"/>
            </w:tcMar>
          </w:tcPr>
          <w:p>
            <w:pPr>
              <w:spacing w:before="0" w:after="0" w:line="240" w:lineRule="auto"/>
              <w:jc w:val="left"/>
            </w:pPr>
            <w:r/>
            <w:r>
              <w:rPr>
                <w:rFonts w:ascii="Times New Roman" w:hAnsi="Times New Roman" w:eastAsia="Times New Roman"/>
                <w:b w:val="0"/>
                <w:i w:val="0"/>
                <w:sz w:val="15"/>
              </w:rPr>
              <w:t>Arrears with zero current principal</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5"/>
              </w:rPr>
              <w:t>Consistency</w:t>
            </w:r>
          </w:p>
        </w:tc>
        <w:tc>
          <w:tcPr>
            <w:tcW w:type="dxa" w:w="567"/>
            <w:tcMar>
              <w:top w:w="15" w:type="dxa"/>
              <w:bottom w:w="15" w:type="dxa"/>
            </w:tcMar>
          </w:tcPr>
          <w:p>
            <w:pPr>
              <w:spacing w:before="0" w:after="0" w:line="240" w:lineRule="auto"/>
              <w:jc w:val="center"/>
            </w:pPr>
            <w:r/>
            <w:r>
              <w:rPr>
                <w:rFonts w:ascii="Times New Roman" w:hAnsi="Times New Roman" w:eastAsia="Times New Roman"/>
                <w:b w:val="0"/>
                <w:i w:val="0"/>
                <w:sz w:val="15"/>
              </w:rPr>
              <w:t>2</w:t>
            </w:r>
          </w:p>
        </w:tc>
        <w:tc>
          <w:tcPr>
            <w:tcW w:type="dxa" w:w="4535"/>
            <w:tcMar>
              <w:top w:w="15" w:type="dxa"/>
              <w:bottom w:w="15" w:type="dxa"/>
            </w:tcMar>
          </w:tcPr>
          <w:p>
            <w:pPr>
              <w:spacing w:before="0" w:after="0" w:line="240" w:lineRule="auto"/>
              <w:jc w:val="left"/>
            </w:pPr>
            <w:r/>
            <w:r>
              <w:rPr>
                <w:rFonts w:ascii="Times New Roman" w:hAnsi="Times New Roman" w:eastAsia="Times New Roman"/>
                <w:b w:val="0"/>
                <w:i w:val="0"/>
                <w:sz w:val="15"/>
              </w:rPr>
              <w:t>total arrears &gt; 0 and pkbpok = 0</w:t>
            </w:r>
          </w:p>
        </w:tc>
      </w:tr>
      <w:tr>
        <w:tc>
          <w:tcPr>
            <w:tcW w:type="dxa" w:w="510"/>
            <w:tcMar>
              <w:top w:w="15" w:type="dxa"/>
              <w:bottom w:w="15" w:type="dxa"/>
            </w:tcMar>
          </w:tcPr>
          <w:p>
            <w:pPr>
              <w:spacing w:before="0" w:after="0" w:line="240" w:lineRule="auto"/>
              <w:jc w:val="left"/>
            </w:pPr>
            <w:r/>
            <w:r>
              <w:rPr>
                <w:rFonts w:ascii="Times New Roman" w:hAnsi="Times New Roman" w:eastAsia="Times New Roman"/>
                <w:b w:val="0"/>
                <w:i w:val="0"/>
                <w:sz w:val="15"/>
              </w:rPr>
              <w:t>R07</w:t>
            </w:r>
          </w:p>
        </w:tc>
        <w:tc>
          <w:tcPr>
            <w:tcW w:type="dxa" w:w="2041"/>
            <w:tcMar>
              <w:top w:w="15" w:type="dxa"/>
              <w:bottom w:w="15" w:type="dxa"/>
            </w:tcMar>
          </w:tcPr>
          <w:p>
            <w:pPr>
              <w:spacing w:before="0" w:after="0" w:line="240" w:lineRule="auto"/>
              <w:jc w:val="left"/>
            </w:pPr>
            <w:r/>
            <w:r>
              <w:rPr>
                <w:rFonts w:ascii="Times New Roman" w:hAnsi="Times New Roman" w:eastAsia="Times New Roman"/>
                <w:b w:val="0"/>
                <w:i w:val="0"/>
                <w:sz w:val="15"/>
              </w:rPr>
              <w:t>Inconsistent application-mutation code</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5"/>
              </w:rPr>
              <w:t>Consistency</w:t>
            </w:r>
          </w:p>
        </w:tc>
        <w:tc>
          <w:tcPr>
            <w:tcW w:type="dxa" w:w="567"/>
            <w:tcMar>
              <w:top w:w="15" w:type="dxa"/>
              <w:bottom w:w="15" w:type="dxa"/>
            </w:tcMar>
          </w:tcPr>
          <w:p>
            <w:pPr>
              <w:spacing w:before="0" w:after="0" w:line="240" w:lineRule="auto"/>
              <w:jc w:val="center"/>
            </w:pPr>
            <w:r/>
            <w:r>
              <w:rPr>
                <w:rFonts w:ascii="Times New Roman" w:hAnsi="Times New Roman" w:eastAsia="Times New Roman"/>
                <w:b w:val="0"/>
                <w:i w:val="0"/>
                <w:sz w:val="15"/>
              </w:rPr>
              <w:t>3</w:t>
            </w:r>
          </w:p>
        </w:tc>
        <w:tc>
          <w:tcPr>
            <w:tcW w:type="dxa" w:w="4535"/>
            <w:tcMar>
              <w:top w:w="15" w:type="dxa"/>
              <w:bottom w:w="15" w:type="dxa"/>
            </w:tcMar>
          </w:tcPr>
          <w:p>
            <w:pPr>
              <w:spacing w:before="0" w:after="0" w:line="240" w:lineRule="auto"/>
              <w:jc w:val="left"/>
            </w:pPr>
            <w:r/>
            <w:r>
              <w:rPr>
                <w:rFonts w:ascii="Times New Roman" w:hAnsi="Times New Roman" w:eastAsia="Times New Roman"/>
                <w:b w:val="0"/>
                <w:i w:val="0"/>
                <w:sz w:val="15"/>
              </w:rPr>
              <w:t>(kd_jen_mohon, kd_jen_mutasi) pair &lt; 0.5% within application code / n &lt; 30, or rare code (&lt; 50)</w:t>
            </w:r>
          </w:p>
        </w:tc>
      </w:tr>
      <w:tr>
        <w:tc>
          <w:tcPr>
            <w:tcW w:type="dxa" w:w="510"/>
            <w:tcMar>
              <w:top w:w="15" w:type="dxa"/>
              <w:bottom w:w="15" w:type="dxa"/>
            </w:tcMar>
          </w:tcPr>
          <w:p>
            <w:pPr>
              <w:spacing w:before="0" w:after="0" w:line="240" w:lineRule="auto"/>
              <w:jc w:val="left"/>
            </w:pPr>
            <w:r/>
            <w:r>
              <w:rPr>
                <w:rFonts w:ascii="Times New Roman" w:hAnsi="Times New Roman" w:eastAsia="Times New Roman"/>
                <w:b w:val="0"/>
                <w:i w:val="0"/>
                <w:sz w:val="15"/>
              </w:rPr>
              <w:t>R08</w:t>
            </w:r>
          </w:p>
        </w:tc>
        <w:tc>
          <w:tcPr>
            <w:tcW w:type="dxa" w:w="2041"/>
            <w:tcMar>
              <w:top w:w="15" w:type="dxa"/>
              <w:bottom w:w="15" w:type="dxa"/>
            </w:tcMar>
          </w:tcPr>
          <w:p>
            <w:pPr>
              <w:spacing w:before="0" w:after="0" w:line="240" w:lineRule="auto"/>
              <w:jc w:val="left"/>
            </w:pPr>
            <w:r/>
            <w:r>
              <w:rPr>
                <w:rFonts w:ascii="Times New Roman" w:hAnsi="Times New Roman" w:eastAsia="Times New Roman"/>
                <w:b w:val="0"/>
                <w:i w:val="0"/>
                <w:sz w:val="15"/>
              </w:rPr>
              <w:t>Transfer fee (BBNKB) inconsistent with code</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5"/>
              </w:rPr>
              <w:t>Consistency</w:t>
            </w:r>
          </w:p>
        </w:tc>
        <w:tc>
          <w:tcPr>
            <w:tcW w:type="dxa" w:w="567"/>
            <w:tcMar>
              <w:top w:w="15" w:type="dxa"/>
              <w:bottom w:w="15" w:type="dxa"/>
            </w:tcMar>
          </w:tcPr>
          <w:p>
            <w:pPr>
              <w:spacing w:before="0" w:after="0" w:line="240" w:lineRule="auto"/>
              <w:jc w:val="center"/>
            </w:pPr>
            <w:r/>
            <w:r>
              <w:rPr>
                <w:rFonts w:ascii="Times New Roman" w:hAnsi="Times New Roman" w:eastAsia="Times New Roman"/>
                <w:b w:val="0"/>
                <w:i w:val="0"/>
                <w:sz w:val="15"/>
              </w:rPr>
              <w:t>3</w:t>
            </w:r>
          </w:p>
        </w:tc>
        <w:tc>
          <w:tcPr>
            <w:tcW w:type="dxa" w:w="4535"/>
            <w:tcMar>
              <w:top w:w="15" w:type="dxa"/>
              <w:bottom w:w="15" w:type="dxa"/>
            </w:tcMar>
          </w:tcPr>
          <w:p>
            <w:pPr>
              <w:spacing w:before="0" w:after="0" w:line="240" w:lineRule="auto"/>
              <w:jc w:val="left"/>
            </w:pPr>
            <w:r/>
            <w:r>
              <w:rPr>
                <w:rFonts w:ascii="Times New Roman" w:hAnsi="Times New Roman" w:eastAsia="Times New Roman"/>
                <w:b w:val="0"/>
                <w:i w:val="0"/>
                <w:sz w:val="15"/>
              </w:rPr>
              <w:t>BBNKB-required pair (≥ 95%) without BBNKB, BBNKB-free pair (≤ 5%) with BBNKB, or bbnden &gt; 0 without bbnpok</w:t>
            </w:r>
          </w:p>
        </w:tc>
      </w:tr>
      <w:tr>
        <w:tc>
          <w:tcPr>
            <w:tcW w:type="dxa" w:w="510"/>
            <w:tcMar>
              <w:top w:w="15" w:type="dxa"/>
              <w:bottom w:w="15" w:type="dxa"/>
            </w:tcMar>
          </w:tcPr>
          <w:p>
            <w:pPr>
              <w:spacing w:before="0" w:after="0" w:line="240" w:lineRule="auto"/>
              <w:jc w:val="left"/>
            </w:pPr>
            <w:r/>
            <w:r>
              <w:rPr>
                <w:rFonts w:ascii="Times New Roman" w:hAnsi="Times New Roman" w:eastAsia="Times New Roman"/>
                <w:b w:val="0"/>
                <w:i w:val="0"/>
                <w:sz w:val="15"/>
              </w:rPr>
              <w:t>R09</w:t>
            </w:r>
          </w:p>
        </w:tc>
        <w:tc>
          <w:tcPr>
            <w:tcW w:type="dxa" w:w="2041"/>
            <w:tcMar>
              <w:top w:w="15" w:type="dxa"/>
              <w:bottom w:w="15" w:type="dxa"/>
            </w:tcMar>
          </w:tcPr>
          <w:p>
            <w:pPr>
              <w:spacing w:before="0" w:after="0" w:line="240" w:lineRule="auto"/>
              <w:jc w:val="left"/>
            </w:pPr>
            <w:r/>
            <w:r>
              <w:rPr>
                <w:rFonts w:ascii="Times New Roman" w:hAnsi="Times New Roman" w:eastAsia="Times New Roman"/>
                <w:b w:val="0"/>
                <w:i w:val="0"/>
                <w:sz w:val="15"/>
              </w:rPr>
              <w:t>Implausible PKB value for vehicle type</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5"/>
              </w:rPr>
              <w:t>Plausibility</w:t>
            </w:r>
          </w:p>
        </w:tc>
        <w:tc>
          <w:tcPr>
            <w:tcW w:type="dxa" w:w="567"/>
            <w:tcMar>
              <w:top w:w="15" w:type="dxa"/>
              <w:bottom w:w="15" w:type="dxa"/>
            </w:tcMar>
          </w:tcPr>
          <w:p>
            <w:pPr>
              <w:spacing w:before="0" w:after="0" w:line="240" w:lineRule="auto"/>
              <w:jc w:val="center"/>
            </w:pPr>
            <w:r/>
            <w:r>
              <w:rPr>
                <w:rFonts w:ascii="Times New Roman" w:hAnsi="Times New Roman" w:eastAsia="Times New Roman"/>
                <w:b w:val="0"/>
                <w:i w:val="0"/>
                <w:sz w:val="15"/>
              </w:rPr>
              <w:t>2</w:t>
            </w:r>
          </w:p>
        </w:tc>
        <w:tc>
          <w:tcPr>
            <w:tcW w:type="dxa" w:w="4535"/>
            <w:tcMar>
              <w:top w:w="15" w:type="dxa"/>
              <w:bottom w:w="15" w:type="dxa"/>
            </w:tcMar>
          </w:tcPr>
          <w:p>
            <w:pPr>
              <w:spacing w:before="0" w:after="0" w:line="240" w:lineRule="auto"/>
              <w:jc w:val="left"/>
            </w:pPr>
            <w:r/>
            <w:r>
              <w:rPr>
                <w:rFonts w:ascii="Times New Roman" w:hAnsi="Times New Roman" w:eastAsia="Times New Roman"/>
                <w:b w:val="0"/>
                <w:i w:val="0"/>
                <w:sz w:val="15"/>
              </w:rPr>
              <w:t>|robust z of log10 pkbpok within kd_jenis_kb| &gt; 3.5 (reference median/MAD)</w:t>
            </w:r>
          </w:p>
        </w:tc>
      </w:tr>
      <w:tr>
        <w:tc>
          <w:tcPr>
            <w:tcW w:type="dxa" w:w="510"/>
            <w:tcMar>
              <w:top w:w="15" w:type="dxa"/>
              <w:bottom w:w="15" w:type="dxa"/>
            </w:tcMar>
          </w:tcPr>
          <w:p>
            <w:pPr>
              <w:spacing w:before="0" w:after="0" w:line="240" w:lineRule="auto"/>
              <w:jc w:val="left"/>
            </w:pPr>
            <w:r/>
            <w:r>
              <w:rPr>
                <w:rFonts w:ascii="Times New Roman" w:hAnsi="Times New Roman" w:eastAsia="Times New Roman"/>
                <w:b w:val="0"/>
                <w:i w:val="0"/>
                <w:sz w:val="15"/>
              </w:rPr>
              <w:t>R10</w:t>
            </w:r>
          </w:p>
        </w:tc>
        <w:tc>
          <w:tcPr>
            <w:tcW w:type="dxa" w:w="2041"/>
            <w:tcMar>
              <w:top w:w="15" w:type="dxa"/>
              <w:bottom w:w="15" w:type="dxa"/>
            </w:tcMar>
          </w:tcPr>
          <w:p>
            <w:pPr>
              <w:spacing w:before="0" w:after="0" w:line="240" w:lineRule="auto"/>
              <w:jc w:val="left"/>
            </w:pPr>
            <w:r/>
            <w:r>
              <w:rPr>
                <w:rFonts w:ascii="Times New Roman" w:hAnsi="Times New Roman" w:eastAsia="Times New Roman"/>
                <w:b w:val="0"/>
                <w:i w:val="0"/>
                <w:sz w:val="15"/>
              </w:rPr>
              <w:t>Extreme arrears-to-principal ratio</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5"/>
              </w:rPr>
              <w:t>Plausibility</w:t>
            </w:r>
          </w:p>
        </w:tc>
        <w:tc>
          <w:tcPr>
            <w:tcW w:type="dxa" w:w="567"/>
            <w:tcMar>
              <w:top w:w="15" w:type="dxa"/>
              <w:bottom w:w="15" w:type="dxa"/>
            </w:tcMar>
          </w:tcPr>
          <w:p>
            <w:pPr>
              <w:spacing w:before="0" w:after="0" w:line="240" w:lineRule="auto"/>
              <w:jc w:val="center"/>
            </w:pPr>
            <w:r/>
            <w:r>
              <w:rPr>
                <w:rFonts w:ascii="Times New Roman" w:hAnsi="Times New Roman" w:eastAsia="Times New Roman"/>
                <w:b w:val="0"/>
                <w:i w:val="0"/>
                <w:sz w:val="15"/>
              </w:rPr>
              <w:t>1</w:t>
            </w:r>
          </w:p>
        </w:tc>
        <w:tc>
          <w:tcPr>
            <w:tcW w:type="dxa" w:w="4535"/>
            <w:tcMar>
              <w:top w:w="15" w:type="dxa"/>
              <w:bottom w:w="15" w:type="dxa"/>
            </w:tcMar>
          </w:tcPr>
          <w:p>
            <w:pPr>
              <w:spacing w:before="0" w:after="0" w:line="240" w:lineRule="auto"/>
              <w:jc w:val="left"/>
            </w:pPr>
            <w:r/>
            <w:r>
              <w:rPr>
                <w:rFonts w:ascii="Times New Roman" w:hAnsi="Times New Roman" w:eastAsia="Times New Roman"/>
                <w:b w:val="0"/>
                <w:i w:val="0"/>
                <w:sz w:val="15"/>
              </w:rPr>
              <w:t>pkbtgk0/pkbpok &gt; 3 or &lt; 0.3</w:t>
            </w:r>
          </w:p>
        </w:tc>
      </w:tr>
      <w:tr>
        <w:tc>
          <w:tcPr>
            <w:tcW w:type="dxa" w:w="510"/>
            <w:tcMar>
              <w:top w:w="15" w:type="dxa"/>
              <w:bottom w:w="15" w:type="dxa"/>
            </w:tcMar>
          </w:tcPr>
          <w:p>
            <w:pPr>
              <w:spacing w:before="0" w:after="0" w:line="240" w:lineRule="auto"/>
              <w:jc w:val="left"/>
            </w:pPr>
            <w:r/>
            <w:r>
              <w:rPr>
                <w:rFonts w:ascii="Times New Roman" w:hAnsi="Times New Roman" w:eastAsia="Times New Roman"/>
                <w:b w:val="0"/>
                <w:i w:val="0"/>
                <w:sz w:val="15"/>
              </w:rPr>
              <w:t>R11</w:t>
            </w:r>
          </w:p>
        </w:tc>
        <w:tc>
          <w:tcPr>
            <w:tcW w:type="dxa" w:w="2041"/>
            <w:tcMar>
              <w:top w:w="15" w:type="dxa"/>
              <w:bottom w:w="15" w:type="dxa"/>
            </w:tcMar>
          </w:tcPr>
          <w:p>
            <w:pPr>
              <w:spacing w:before="0" w:after="0" w:line="240" w:lineRule="auto"/>
              <w:jc w:val="left"/>
            </w:pPr>
            <w:r/>
            <w:r>
              <w:rPr>
                <w:rFonts w:ascii="Times New Roman" w:hAnsi="Times New Roman" w:eastAsia="Times New Roman"/>
                <w:b w:val="0"/>
                <w:i w:val="0"/>
                <w:sz w:val="15"/>
              </w:rPr>
              <w:t>Exact duplicate transaction</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5"/>
              </w:rPr>
              <w:t>Uniqueness</w:t>
            </w:r>
          </w:p>
        </w:tc>
        <w:tc>
          <w:tcPr>
            <w:tcW w:type="dxa" w:w="567"/>
            <w:tcMar>
              <w:top w:w="15" w:type="dxa"/>
              <w:bottom w:w="15" w:type="dxa"/>
            </w:tcMar>
          </w:tcPr>
          <w:p>
            <w:pPr>
              <w:spacing w:before="0" w:after="0" w:line="240" w:lineRule="auto"/>
              <w:jc w:val="center"/>
            </w:pPr>
            <w:r/>
            <w:r>
              <w:rPr>
                <w:rFonts w:ascii="Times New Roman" w:hAnsi="Times New Roman" w:eastAsia="Times New Roman"/>
                <w:b w:val="0"/>
                <w:i w:val="0"/>
                <w:sz w:val="15"/>
              </w:rPr>
              <w:t>2</w:t>
            </w:r>
          </w:p>
        </w:tc>
        <w:tc>
          <w:tcPr>
            <w:tcW w:type="dxa" w:w="4535"/>
            <w:tcMar>
              <w:top w:w="15" w:type="dxa"/>
              <w:bottom w:w="15" w:type="dxa"/>
            </w:tcMar>
          </w:tcPr>
          <w:p>
            <w:pPr>
              <w:spacing w:before="0" w:after="0" w:line="240" w:lineRule="auto"/>
              <w:jc w:val="left"/>
            </w:pPr>
            <w:r/>
            <w:r>
              <w:rPr>
                <w:rFonts w:ascii="Times New Roman" w:hAnsi="Times New Roman" w:eastAsia="Times New Roman"/>
                <w:b w:val="0"/>
                <w:i w:val="0"/>
                <w:sz w:val="15"/>
              </w:rPr>
              <w:t>exact duplicate (plate, date, codes, amounts)</w:t>
            </w:r>
          </w:p>
        </w:tc>
      </w:tr>
    </w:tbl>
    <w:p>
      <w:pPr>
        <w:spacing w:before="0" w:after="0" w:line="240" w:lineRule="auto"/>
        <w:jc w:val="both"/>
      </w:pPr>
    </w:p>
    <w:p>
      <w:pPr>
        <w:keepNext/>
        <w:spacing w:before="80" w:after="40" w:line="240" w:lineRule="auto"/>
        <w:jc w:val="left"/>
      </w:pPr>
      <w:r>
        <w:rPr>
          <w:rFonts w:ascii="Times New Roman" w:hAnsi="Times New Roman" w:eastAsia="Times New Roman"/>
          <w:b/>
          <w:i w:val="0"/>
          <w:sz w:val="20"/>
        </w:rPr>
        <w:t>2.4 Features and unsupervised detectors</w:t>
      </w:r>
    </w:p>
    <w:p>
      <w:pPr>
        <w:spacing w:before="0" w:after="0" w:line="240" w:lineRule="auto"/>
        <w:jc w:val="both"/>
      </w:pPr>
      <w:r>
        <w:rPr>
          <w:rFonts w:ascii="Times New Roman" w:hAnsi="Times New Roman" w:eastAsia="Times New Roman"/>
          <w:b w:val="0"/>
          <w:i w:val="0"/>
          <w:sz w:val="20"/>
        </w:rPr>
        <w:t>Detectors were trained only on clean transactions (no rule violation and non-zero value) from 2021–2023 (n = 129,921; training sample 40,000) and tested on 2024 to avoid temporal leakage [6]. Base features comprise logarithms of PKB, BBNKB and arrears principal/penalty amounts, number of arrears years, code frequencies and status codes. Domain features add penalty/principal, penalty/arrears and arrears/principal ratios, the BBNKB/PKB ratio, the per-type value z-score (equation 2), the BBNKB/PKB z-score per code pair, code-pair frequency and the deviation of BBNKB presence from the pair's norm. The three detectors are Isolation Forest (300 trees, ψ = 512) with score</w:t>
      </w:r>
    </w:p>
    <w:tbl>
      <w:tblPr>
        <w:tblW w:type="auto" w:w="0"/>
        <w:jc w:val="center"/>
        <w:tblLook w:firstColumn="1" w:firstRow="1" w:lastColumn="0" w:lastRow="0" w:noHBand="0" w:noVBand="1" w:val="04A0"/>
      </w:tblPr>
      <w:tblGrid>
        <w:gridCol w:w="7937"/>
        <w:gridCol w:w="794"/>
      </w:tblGrid>
      <w:tr>
        <w:tc>
          <w:tcPr>
            <w:tcW w:type="dxa" w:w="7937"/>
          </w:tcPr>
          <w:p>
            <w:pPr>
              <w:spacing w:before="40" w:after="40" w:line="240" w:lineRule="auto"/>
              <w:jc w:val="center"/>
            </w:pPr>
            <w:r>
              <w:rPr>
                <w:rFonts w:ascii="Times New Roman" w:hAnsi="Times New Roman" w:eastAsia="Times New Roman"/>
                <w:b w:val="0"/>
                <w:i w:val="0"/>
                <w:sz w:val="20"/>
              </w:rPr>
              <w:t>s(x) = 2</w:t>
            </w:r>
            <w:r>
              <w:rPr>
                <w:rFonts w:ascii="Times New Roman" w:hAnsi="Times New Roman" w:eastAsia="Times New Roman"/>
                <w:b w:val="0"/>
                <w:i w:val="0"/>
                <w:sz w:val="20"/>
                <w:vertAlign w:val="superscript"/>
              </w:rPr>
              <w:t>−E[h(x)]/c(ψ)</w:t>
            </w:r>
          </w:p>
        </w:tc>
        <w:tc>
          <w:tcPr>
            <w:tcW w:type="dxa" w:w="794"/>
          </w:tcPr>
          <w:p>
            <w:pPr>
              <w:spacing w:before="40" w:after="40" w:line="240" w:lineRule="auto"/>
              <w:jc w:val="right"/>
            </w:pPr>
            <w:r>
              <w:rPr>
                <w:rFonts w:ascii="Times New Roman" w:hAnsi="Times New Roman" w:eastAsia="Times New Roman"/>
                <w:b w:val="0"/>
                <w:i w:val="0"/>
                <w:sz w:val="20"/>
              </w:rPr>
              <w:t>(3)</w:t>
            </w:r>
          </w:p>
        </w:tc>
      </w:tr>
    </w:tbl>
    <w:p>
      <w:pPr>
        <w:spacing w:before="0" w:after="0" w:line="240" w:lineRule="auto"/>
        <w:jc w:val="both"/>
      </w:pPr>
      <w:r>
        <w:rPr>
          <w:rFonts w:ascii="Times New Roman" w:hAnsi="Times New Roman" w:eastAsia="Times New Roman"/>
          <w:b w:val="0"/>
          <w:i w:val="0"/>
          <w:sz w:val="20"/>
        </w:rPr>
        <w:t>LOF in novelty mode (k = 35), and a 32–8–32 MLP autoencoder (ReLU, Adam, early stopping) with reconstruction error</w:t>
      </w:r>
    </w:p>
    <w:tbl>
      <w:tblPr>
        <w:tblW w:type="auto" w:w="0"/>
        <w:jc w:val="center"/>
        <w:tblLook w:firstColumn="1" w:firstRow="1" w:lastColumn="0" w:lastRow="0" w:noHBand="0" w:noVBand="1" w:val="04A0"/>
      </w:tblPr>
      <w:tblGrid>
        <w:gridCol w:w="7937"/>
        <w:gridCol w:w="794"/>
      </w:tblGrid>
      <w:tr>
        <w:tc>
          <w:tcPr>
            <w:tcW w:type="dxa" w:w="7937"/>
          </w:tcPr>
          <w:p>
            <w:pPr>
              <w:spacing w:before="40" w:after="40" w:line="240" w:lineRule="auto"/>
              <w:jc w:val="center"/>
            </w:pPr>
            <w:r>
              <w:rPr>
                <w:rFonts w:ascii="Times New Roman" w:hAnsi="Times New Roman" w:eastAsia="Times New Roman"/>
                <w:b w:val="0"/>
                <w:i w:val="0"/>
                <w:sz w:val="20"/>
              </w:rPr>
              <w:t>e(x) = (1/d) Σ</w:t>
            </w:r>
            <w:r>
              <w:rPr>
                <w:rFonts w:ascii="Times New Roman" w:hAnsi="Times New Roman" w:eastAsia="Times New Roman"/>
                <w:b w:val="0"/>
                <w:i w:val="0"/>
                <w:sz w:val="20"/>
                <w:vertAlign w:val="subscript"/>
              </w:rPr>
              <w:t>j</w:t>
            </w:r>
            <w:r>
              <w:rPr>
                <w:rFonts w:ascii="Times New Roman" w:hAnsi="Times New Roman" w:eastAsia="Times New Roman"/>
                <w:b w:val="0"/>
                <w:i w:val="0"/>
                <w:sz w:val="20"/>
              </w:rPr>
              <w:t xml:space="preserve"> (x</w:t>
            </w:r>
            <w:r>
              <w:rPr>
                <w:rFonts w:ascii="Times New Roman" w:hAnsi="Times New Roman" w:eastAsia="Times New Roman"/>
                <w:b w:val="0"/>
                <w:i w:val="0"/>
                <w:sz w:val="20"/>
                <w:vertAlign w:val="subscript"/>
              </w:rPr>
              <w:t>j</w:t>
            </w:r>
            <w:r>
              <w:rPr>
                <w:rFonts w:ascii="Times New Roman" w:hAnsi="Times New Roman" w:eastAsia="Times New Roman"/>
                <w:b w:val="0"/>
                <w:i w:val="0"/>
                <w:sz w:val="20"/>
              </w:rPr>
              <w:t xml:space="preserve"> − x̂</w:t>
            </w:r>
            <w:r>
              <w:rPr>
                <w:rFonts w:ascii="Times New Roman" w:hAnsi="Times New Roman" w:eastAsia="Times New Roman"/>
                <w:b w:val="0"/>
                <w:i w:val="0"/>
                <w:sz w:val="20"/>
                <w:vertAlign w:val="subscript"/>
              </w:rPr>
              <w:t>j</w:t>
            </w:r>
            <w:r>
              <w:rPr>
                <w:rFonts w:ascii="Times New Roman" w:hAnsi="Times New Roman" w:eastAsia="Times New Roman"/>
                <w:b w:val="0"/>
                <w:i w:val="0"/>
                <w:sz w:val="20"/>
              </w:rPr>
              <w:t>)²</w:t>
            </w:r>
          </w:p>
        </w:tc>
        <w:tc>
          <w:tcPr>
            <w:tcW w:type="dxa" w:w="794"/>
          </w:tcPr>
          <w:p>
            <w:pPr>
              <w:spacing w:before="40" w:after="40" w:line="240" w:lineRule="auto"/>
              <w:jc w:val="right"/>
            </w:pPr>
            <w:r>
              <w:rPr>
                <w:rFonts w:ascii="Times New Roman" w:hAnsi="Times New Roman" w:eastAsia="Times New Roman"/>
                <w:b w:val="0"/>
                <w:i w:val="0"/>
                <w:sz w:val="20"/>
              </w:rPr>
              <w:t>(4)</w:t>
            </w:r>
          </w:p>
        </w:tc>
      </w:tr>
    </w:tbl>
    <w:p>
      <w:pPr>
        <w:spacing w:before="0" w:after="0" w:line="240" w:lineRule="auto"/>
        <w:jc w:val="both"/>
      </w:pPr>
      <w:r>
        <w:rPr>
          <w:rFonts w:ascii="Times New Roman" w:hAnsi="Times New Roman" w:eastAsia="Times New Roman"/>
          <w:b w:val="0"/>
          <w:i w:val="0"/>
          <w:sz w:val="20"/>
        </w:rPr>
        <w:t>Shallow models and a small network were chosen because tabular data do not necessarily benefit from deep architectures [27,28].</w:t>
      </w:r>
    </w:p>
    <w:p>
      <w:pPr>
        <w:keepNext/>
        <w:spacing w:before="80" w:after="40" w:line="240" w:lineRule="auto"/>
        <w:jc w:val="left"/>
      </w:pPr>
      <w:r>
        <w:rPr>
          <w:rFonts w:ascii="Times New Roman" w:hAnsi="Times New Roman" w:eastAsia="Times New Roman"/>
          <w:b/>
          <w:i w:val="0"/>
          <w:sz w:val="20"/>
        </w:rPr>
        <w:t>2.5 Ensemble fusion and hybrid score</w:t>
      </w:r>
    </w:p>
    <w:p>
      <w:pPr>
        <w:spacing w:before="0" w:after="0" w:line="240" w:lineRule="auto"/>
        <w:jc w:val="both"/>
      </w:pPr>
      <w:r>
        <w:rPr>
          <w:rFonts w:ascii="Times New Roman" w:hAnsi="Times New Roman" w:eastAsia="Times New Roman"/>
          <w:b w:val="0"/>
          <w:i w:val="0"/>
          <w:sz w:val="20"/>
        </w:rPr>
        <w:t xml:space="preserve">Each detector score </w:t>
      </w:r>
      <w:r>
        <w:rPr>
          <w:rFonts w:ascii="Times New Roman" w:hAnsi="Times New Roman" w:eastAsia="Times New Roman"/>
          <w:b w:val="0"/>
          <w:i/>
          <w:sz w:val="20"/>
        </w:rPr>
        <w:t>m</w:t>
      </w:r>
      <w:r>
        <w:rPr>
          <w:rFonts w:ascii="Times New Roman" w:hAnsi="Times New Roman" w:eastAsia="Times New Roman"/>
          <w:b w:val="0"/>
          <w:i w:val="0"/>
          <w:sz w:val="20"/>
        </w:rPr>
        <w:t xml:space="preserve"> is calibrated into a percentile F</w:t>
      </w:r>
      <w:r>
        <w:rPr>
          <w:rFonts w:ascii="Times New Roman" w:hAnsi="Times New Roman" w:eastAsia="Times New Roman"/>
          <w:b w:val="0"/>
          <w:i w:val="0"/>
          <w:sz w:val="20"/>
          <w:vertAlign w:val="subscript"/>
        </w:rPr>
        <w:t>m</w:t>
      </w:r>
      <w:r>
        <w:rPr>
          <w:rFonts w:ascii="Times New Roman" w:hAnsi="Times New Roman" w:eastAsia="Times New Roman"/>
          <w:b w:val="0"/>
          <w:i w:val="0"/>
          <w:sz w:val="20"/>
        </w:rPr>
        <w:t xml:space="preserve"> against the training-score distribution and fused with the maximum (the mean breaks ties), so that a strong signal from one detector is not diluted by the others [19]. The hybrid score puts rule-violating transactions first:</w:t>
      </w:r>
    </w:p>
    <w:tbl>
      <w:tblPr>
        <w:tblW w:type="auto" w:w="0"/>
        <w:jc w:val="center"/>
        <w:tblLook w:firstColumn="1" w:firstRow="1" w:lastColumn="0" w:lastRow="0" w:noHBand="0" w:noVBand="1" w:val="04A0"/>
      </w:tblPr>
      <w:tblGrid>
        <w:gridCol w:w="7937"/>
        <w:gridCol w:w="794"/>
      </w:tblGrid>
      <w:tr>
        <w:tc>
          <w:tcPr>
            <w:tcW w:type="dxa" w:w="7937"/>
          </w:tcPr>
          <w:p>
            <w:pPr>
              <w:spacing w:before="40" w:after="40" w:line="240" w:lineRule="auto"/>
              <w:jc w:val="center"/>
            </w:pPr>
            <w:r>
              <w:rPr>
                <w:rFonts w:ascii="Times New Roman" w:hAnsi="Times New Roman" w:eastAsia="Times New Roman"/>
                <w:b w:val="0"/>
                <w:i w:val="0"/>
                <w:sz w:val="20"/>
              </w:rPr>
              <w:t>S</w:t>
            </w:r>
            <w:r>
              <w:rPr>
                <w:rFonts w:ascii="Times New Roman" w:hAnsi="Times New Roman" w:eastAsia="Times New Roman"/>
                <w:b w:val="0"/>
                <w:i w:val="0"/>
                <w:sz w:val="20"/>
                <w:vertAlign w:val="subscript"/>
              </w:rPr>
              <w:t>ML</w:t>
            </w:r>
            <w:r>
              <w:rPr>
                <w:rFonts w:ascii="Times New Roman" w:hAnsi="Times New Roman" w:eastAsia="Times New Roman"/>
                <w:b w:val="0"/>
                <w:i w:val="0"/>
                <w:sz w:val="20"/>
              </w:rPr>
              <w:t>(x) = max</w:t>
            </w:r>
            <w:r>
              <w:rPr>
                <w:rFonts w:ascii="Times New Roman" w:hAnsi="Times New Roman" w:eastAsia="Times New Roman"/>
                <w:b w:val="0"/>
                <w:i w:val="0"/>
                <w:sz w:val="20"/>
                <w:vertAlign w:val="subscript"/>
              </w:rPr>
              <w:t>m</w:t>
            </w:r>
            <w:r>
              <w:rPr>
                <w:rFonts w:ascii="Times New Roman" w:hAnsi="Times New Roman" w:eastAsia="Times New Roman"/>
                <w:b w:val="0"/>
                <w:i w:val="0"/>
                <w:sz w:val="20"/>
              </w:rPr>
              <w:t xml:space="preserve"> F</w:t>
            </w:r>
            <w:r>
              <w:rPr>
                <w:rFonts w:ascii="Times New Roman" w:hAnsi="Times New Roman" w:eastAsia="Times New Roman"/>
                <w:b w:val="0"/>
                <w:i w:val="0"/>
                <w:sz w:val="20"/>
                <w:vertAlign w:val="subscript"/>
              </w:rPr>
              <w:t>m</w:t>
            </w:r>
            <w:r>
              <w:rPr>
                <w:rFonts w:ascii="Times New Roman" w:hAnsi="Times New Roman" w:eastAsia="Times New Roman"/>
                <w:b w:val="0"/>
                <w:i w:val="0"/>
                <w:sz w:val="20"/>
              </w:rPr>
              <w:t>(s</w:t>
            </w:r>
            <w:r>
              <w:rPr>
                <w:rFonts w:ascii="Times New Roman" w:hAnsi="Times New Roman" w:eastAsia="Times New Roman"/>
                <w:b w:val="0"/>
                <w:i w:val="0"/>
                <w:sz w:val="20"/>
                <w:vertAlign w:val="subscript"/>
              </w:rPr>
              <w:t>m</w:t>
            </w:r>
            <w:r>
              <w:rPr>
                <w:rFonts w:ascii="Times New Roman" w:hAnsi="Times New Roman" w:eastAsia="Times New Roman"/>
                <w:b w:val="0"/>
                <w:i w:val="0"/>
                <w:sz w:val="20"/>
              </w:rPr>
              <w:t>(x));      H(x) = 𝟙[R(x) &gt; 0] + S</w:t>
            </w:r>
            <w:r>
              <w:rPr>
                <w:rFonts w:ascii="Times New Roman" w:hAnsi="Times New Roman" w:eastAsia="Times New Roman"/>
                <w:b w:val="0"/>
                <w:i w:val="0"/>
                <w:sz w:val="20"/>
                <w:vertAlign w:val="subscript"/>
              </w:rPr>
              <w:t>ML</w:t>
            </w:r>
            <w:r>
              <w:rPr>
                <w:rFonts w:ascii="Times New Roman" w:hAnsi="Times New Roman" w:eastAsia="Times New Roman"/>
                <w:b w:val="0"/>
                <w:i w:val="0"/>
                <w:sz w:val="20"/>
              </w:rPr>
              <w:t>(x)</w:t>
            </w:r>
          </w:p>
        </w:tc>
        <w:tc>
          <w:tcPr>
            <w:tcW w:type="dxa" w:w="794"/>
          </w:tcPr>
          <w:p>
            <w:pPr>
              <w:spacing w:before="40" w:after="40" w:line="240" w:lineRule="auto"/>
              <w:jc w:val="right"/>
            </w:pPr>
            <w:r>
              <w:rPr>
                <w:rFonts w:ascii="Times New Roman" w:hAnsi="Times New Roman" w:eastAsia="Times New Roman"/>
                <w:b w:val="0"/>
                <w:i w:val="0"/>
                <w:sz w:val="20"/>
              </w:rPr>
              <w:t>(5)</w:t>
            </w:r>
          </w:p>
        </w:tc>
      </w:tr>
    </w:tbl>
    <w:p>
      <w:pPr>
        <w:spacing w:before="0" w:after="0" w:line="240" w:lineRule="auto"/>
        <w:jc w:val="both"/>
      </w:pPr>
      <w:r>
        <w:rPr>
          <w:rFonts w:ascii="Times New Roman" w:hAnsi="Times New Roman" w:eastAsia="Times New Roman"/>
          <w:b w:val="0"/>
          <w:i w:val="0"/>
          <w:sz w:val="20"/>
        </w:rPr>
        <w:t>A transaction is flagged by ML when S</w:t>
      </w:r>
      <w:r>
        <w:rPr>
          <w:rFonts w:ascii="Times New Roman" w:hAnsi="Times New Roman" w:eastAsia="Times New Roman"/>
          <w:b w:val="0"/>
          <w:i w:val="0"/>
          <w:sz w:val="20"/>
          <w:vertAlign w:val="subscript"/>
        </w:rPr>
        <w:t>ML</w:t>
      </w:r>
      <w:r>
        <w:rPr>
          <w:rFonts w:ascii="Times New Roman" w:hAnsi="Times New Roman" w:eastAsia="Times New Roman"/>
          <w:b w:val="0"/>
          <w:i w:val="0"/>
          <w:sz w:val="20"/>
        </w:rPr>
        <w:t xml:space="preserve"> exceeds the 99th percentile of the training data. Reason codes come from the violated rules and the three features with the largest autoencoder reconstruction error [22]. Figure 2 shows how the detector is deployed in the SAMSAT information system.</w:t>
      </w:r>
    </w:p>
    <w:p>
      <w:pPr>
        <w:keepNext/>
        <w:spacing w:before="80" w:after="0" w:line="240" w:lineRule="auto"/>
        <w:jc w:val="center"/>
      </w:pPr>
      <w:r>
        <w:drawing>
          <wp:inline xmlns:a="http://schemas.openxmlformats.org/drawingml/2006/main" xmlns:pic="http://schemas.openxmlformats.org/drawingml/2006/picture">
            <wp:extent cx="5220000" cy="2152607"/>
            <wp:docPr id="2" name="Picture 2"/>
            <wp:cNvGraphicFramePr>
              <a:graphicFrameLocks noChangeAspect="1"/>
            </wp:cNvGraphicFramePr>
            <a:graphic>
              <a:graphicData uri="http://schemas.openxmlformats.org/drawingml/2006/picture">
                <pic:pic>
                  <pic:nvPicPr>
                    <pic:cNvPr id="0" name="F02_arsitektur_sistem.png"/>
                    <pic:cNvPicPr/>
                  </pic:nvPicPr>
                  <pic:blipFill>
                    <a:blip r:embed="rId14"/>
                    <a:stretch>
                      <a:fillRect/>
                    </a:stretch>
                  </pic:blipFill>
                  <pic:spPr>
                    <a:xfrm>
                      <a:off x="0" y="0"/>
                      <a:ext cx="5220000" cy="2152607"/>
                    </a:xfrm>
                    <a:prstGeom prst="rect"/>
                  </pic:spPr>
                </pic:pic>
              </a:graphicData>
            </a:graphic>
          </wp:inline>
        </w:drawing>
      </w:r>
    </w:p>
    <w:p>
      <w:pPr>
        <w:spacing w:before="0" w:after="80" w:line="240" w:lineRule="auto"/>
        <w:jc w:val="center"/>
      </w:pPr>
      <w:r>
        <w:rPr>
          <w:rFonts w:ascii="Times New Roman" w:hAnsi="Times New Roman" w:eastAsia="Times New Roman"/>
          <w:b w:val="0"/>
          <w:i w:val="0"/>
          <w:sz w:val="18"/>
        </w:rPr>
        <w:t>Figure 2: Deployment architecture of the hybrid detector in the SAMSAT data flow</w:t>
      </w:r>
    </w:p>
    <w:p>
      <w:pPr>
        <w:keepNext/>
        <w:spacing w:before="80" w:after="40" w:line="240" w:lineRule="auto"/>
        <w:jc w:val="left"/>
      </w:pPr>
      <w:r>
        <w:rPr>
          <w:rFonts w:ascii="Times New Roman" w:hAnsi="Times New Roman" w:eastAsia="Times New Roman"/>
          <w:b/>
          <w:i w:val="0"/>
          <w:sz w:val="20"/>
        </w:rPr>
        <w:t>2.6 Evaluation design</w:t>
      </w:r>
    </w:p>
    <w:p>
      <w:pPr>
        <w:spacing w:before="0" w:after="0" w:line="240" w:lineRule="auto"/>
        <w:jc w:val="both"/>
      </w:pPr>
      <w:r>
        <w:rPr>
          <w:rFonts w:ascii="Times New Roman" w:hAnsi="Times New Roman" w:eastAsia="Times New Roman"/>
          <w:b w:val="0"/>
          <w:i w:val="0"/>
          <w:sz w:val="20"/>
        </w:rPr>
        <w:t>Because ground truth is unavailable, performance was measured with controlled anomaly injection that mimics real errors [25]. In each run, 20,000 clean 2024 transactions were sampled and 800 anomalies (8 types × 100) were inserted (3.85% contamination), for ten runs (Table 3). Type A8 deliberately has no matching rule, to test the ability to find unanticipated patterns. Metrics are ROC-AUC, PR-AUC (average precision), precision at k = number of anomalies (P@k), recall at a 5% audit budget, and precision, recall and F1 at the operating threshold. Differences between methods were tested with Friedman and Holm-corrected paired Wilcoxon tests. Sensitivity analysis covered LOF k, number of IF trees, AE architecture, training size and fusion strategy; the ablation compared base features with base + domain features.</w:t>
      </w:r>
    </w:p>
    <w:p>
      <w:pPr>
        <w:keepNext/>
        <w:spacing w:before="80" w:after="0" w:line="240" w:lineRule="auto"/>
        <w:jc w:val="center"/>
      </w:pPr>
      <w:r>
        <w:rPr>
          <w:rFonts w:ascii="Times New Roman" w:hAnsi="Times New Roman" w:eastAsia="Times New Roman"/>
          <w:b w:val="0"/>
          <w:i w:val="0"/>
          <w:sz w:val="16"/>
        </w:rPr>
        <w:t>Table 3: Injected anomaly types (100 per type per run)</w:t>
      </w:r>
    </w:p>
    <w:tbl>
      <w:tblPr>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W w:w="8731" w:type="dxa"/>
        <w:tblLayout w:type="fixed"/>
      </w:tblPr>
      <w:tblGrid>
        <w:gridCol w:w="567"/>
        <w:gridCol w:w="2494"/>
        <w:gridCol w:w="1360"/>
        <w:gridCol w:w="4309"/>
      </w:tblGrid>
      <w:tr>
        <w:tc>
          <w:tcPr>
            <w:tcW w:type="dxa" w:w="567"/>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5"/>
              </w:rPr>
              <w:t>Code</w:t>
            </w:r>
          </w:p>
        </w:tc>
        <w:tc>
          <w:tcPr>
            <w:tcW w:type="dxa" w:w="2494"/>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5"/>
              </w:rPr>
              <w:t>Anomaly type</w:t>
            </w:r>
          </w:p>
        </w:tc>
        <w:tc>
          <w:tcPr>
            <w:tcW w:type="dxa" w:w="1361"/>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5"/>
              </w:rPr>
              <w:t>Related rule</w:t>
            </w:r>
          </w:p>
        </w:tc>
        <w:tc>
          <w:tcPr>
            <w:tcW w:type="dxa" w:w="4309"/>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5"/>
              </w:rPr>
              <w:t>Injection</w:t>
            </w:r>
          </w:p>
        </w:tc>
      </w:tr>
      <w:tr>
        <w:tc>
          <w:tcPr>
            <w:tcW w:type="dxa" w:w="567"/>
            <w:tcMar>
              <w:top w:w="15" w:type="dxa"/>
              <w:bottom w:w="15" w:type="dxa"/>
            </w:tcMar>
          </w:tcPr>
          <w:p>
            <w:pPr>
              <w:spacing w:before="0" w:after="0" w:line="240" w:lineRule="auto"/>
              <w:jc w:val="left"/>
            </w:pPr>
            <w:r/>
            <w:r>
              <w:rPr>
                <w:rFonts w:ascii="Times New Roman" w:hAnsi="Times New Roman" w:eastAsia="Times New Roman"/>
                <w:b w:val="0"/>
                <w:i w:val="0"/>
                <w:sz w:val="15"/>
              </w:rPr>
              <w:t>A1</w:t>
            </w:r>
          </w:p>
        </w:tc>
        <w:tc>
          <w:tcPr>
            <w:tcW w:type="dxa" w:w="2494"/>
            <w:tcMar>
              <w:top w:w="15" w:type="dxa"/>
              <w:bottom w:w="15" w:type="dxa"/>
            </w:tcMar>
          </w:tcPr>
          <w:p>
            <w:pPr>
              <w:spacing w:before="0" w:after="0" w:line="240" w:lineRule="auto"/>
              <w:jc w:val="left"/>
            </w:pPr>
            <w:r/>
            <w:r>
              <w:rPr>
                <w:rFonts w:ascii="Times New Roman" w:hAnsi="Times New Roman" w:eastAsia="Times New Roman"/>
                <w:b w:val="0"/>
                <w:i w:val="0"/>
                <w:sz w:val="15"/>
              </w:rPr>
              <w:t>Penalty without arrears</w:t>
            </w:r>
          </w:p>
        </w:tc>
        <w:tc>
          <w:tcPr>
            <w:tcW w:type="dxa" w:w="1361"/>
            <w:tcMar>
              <w:top w:w="15" w:type="dxa"/>
              <w:bottom w:w="15" w:type="dxa"/>
            </w:tcMar>
          </w:tcPr>
          <w:p>
            <w:pPr>
              <w:spacing w:before="0" w:after="0" w:line="240" w:lineRule="auto"/>
              <w:jc w:val="center"/>
            </w:pPr>
            <w:r/>
            <w:r>
              <w:rPr>
                <w:rFonts w:ascii="Times New Roman" w:hAnsi="Times New Roman" w:eastAsia="Times New Roman"/>
                <w:b w:val="0"/>
                <w:i w:val="0"/>
                <w:sz w:val="15"/>
              </w:rPr>
              <w:t>R01</w:t>
            </w:r>
          </w:p>
        </w:tc>
        <w:tc>
          <w:tcPr>
            <w:tcW w:type="dxa" w:w="4309"/>
            <w:tcMar>
              <w:top w:w="15" w:type="dxa"/>
              <w:bottom w:w="15" w:type="dxa"/>
            </w:tcMar>
          </w:tcPr>
          <w:p>
            <w:pPr>
              <w:spacing w:before="0" w:after="0" w:line="240" w:lineRule="auto"/>
              <w:jc w:val="left"/>
            </w:pPr>
            <w:r/>
            <w:r>
              <w:rPr>
                <w:rFonts w:ascii="Times New Roman" w:hAnsi="Times New Roman" w:eastAsia="Times New Roman"/>
                <w:b w:val="0"/>
                <w:i w:val="0"/>
                <w:sz w:val="15"/>
              </w:rPr>
              <w:t>penalty of 2nd arrears year = 5–25% of principal, without arrears principal</w:t>
            </w:r>
          </w:p>
        </w:tc>
      </w:tr>
      <w:tr>
        <w:tc>
          <w:tcPr>
            <w:tcW w:type="dxa" w:w="567"/>
            <w:tcMar>
              <w:top w:w="15" w:type="dxa"/>
              <w:bottom w:w="15" w:type="dxa"/>
            </w:tcMar>
          </w:tcPr>
          <w:p>
            <w:pPr>
              <w:spacing w:before="0" w:after="0" w:line="240" w:lineRule="auto"/>
              <w:jc w:val="left"/>
            </w:pPr>
            <w:r/>
            <w:r>
              <w:rPr>
                <w:rFonts w:ascii="Times New Roman" w:hAnsi="Times New Roman" w:eastAsia="Times New Roman"/>
                <w:b w:val="0"/>
                <w:i w:val="0"/>
                <w:sz w:val="15"/>
              </w:rPr>
              <w:t>A2</w:t>
            </w:r>
          </w:p>
        </w:tc>
        <w:tc>
          <w:tcPr>
            <w:tcW w:type="dxa" w:w="2494"/>
            <w:tcMar>
              <w:top w:w="15" w:type="dxa"/>
              <w:bottom w:w="15" w:type="dxa"/>
            </w:tcMar>
          </w:tcPr>
          <w:p>
            <w:pPr>
              <w:spacing w:before="0" w:after="0" w:line="240" w:lineRule="auto"/>
              <w:jc w:val="left"/>
            </w:pPr>
            <w:r/>
            <w:r>
              <w:rPr>
                <w:rFonts w:ascii="Times New Roman" w:hAnsi="Times New Roman" w:eastAsia="Times New Roman"/>
                <w:b w:val="0"/>
                <w:i w:val="0"/>
                <w:sz w:val="15"/>
              </w:rPr>
              <w:t>Inconsistent mutation code</w:t>
            </w:r>
          </w:p>
        </w:tc>
        <w:tc>
          <w:tcPr>
            <w:tcW w:type="dxa" w:w="1361"/>
            <w:tcMar>
              <w:top w:w="15" w:type="dxa"/>
              <w:bottom w:w="15" w:type="dxa"/>
            </w:tcMar>
          </w:tcPr>
          <w:p>
            <w:pPr>
              <w:spacing w:before="0" w:after="0" w:line="240" w:lineRule="auto"/>
              <w:jc w:val="center"/>
            </w:pPr>
            <w:r/>
            <w:r>
              <w:rPr>
                <w:rFonts w:ascii="Times New Roman" w:hAnsi="Times New Roman" w:eastAsia="Times New Roman"/>
                <w:b w:val="0"/>
                <w:i w:val="0"/>
                <w:sz w:val="15"/>
              </w:rPr>
              <w:t>R07</w:t>
            </w:r>
          </w:p>
        </w:tc>
        <w:tc>
          <w:tcPr>
            <w:tcW w:type="dxa" w:w="4309"/>
            <w:tcMar>
              <w:top w:w="15" w:type="dxa"/>
              <w:bottom w:w="15" w:type="dxa"/>
            </w:tcMar>
          </w:tcPr>
          <w:p>
            <w:pPr>
              <w:spacing w:before="0" w:after="0" w:line="240" w:lineRule="auto"/>
              <w:jc w:val="left"/>
            </w:pPr>
            <w:r/>
            <w:r>
              <w:rPr>
                <w:rFonts w:ascii="Times New Roman" w:hAnsi="Times New Roman" w:eastAsia="Times New Roman"/>
                <w:b w:val="0"/>
                <w:i w:val="0"/>
                <w:sz w:val="15"/>
              </w:rPr>
              <w:t>kd_jen_mutasi replaced by a code contradicting the application type</w:t>
            </w:r>
          </w:p>
        </w:tc>
      </w:tr>
      <w:tr>
        <w:tc>
          <w:tcPr>
            <w:tcW w:type="dxa" w:w="567"/>
            <w:tcMar>
              <w:top w:w="15" w:type="dxa"/>
              <w:bottom w:w="15" w:type="dxa"/>
            </w:tcMar>
          </w:tcPr>
          <w:p>
            <w:pPr>
              <w:spacing w:before="0" w:after="0" w:line="240" w:lineRule="auto"/>
              <w:jc w:val="left"/>
            </w:pPr>
            <w:r/>
            <w:r>
              <w:rPr>
                <w:rFonts w:ascii="Times New Roman" w:hAnsi="Times New Roman" w:eastAsia="Times New Roman"/>
                <w:b w:val="0"/>
                <w:i w:val="0"/>
                <w:sz w:val="15"/>
              </w:rPr>
              <w:t>A3</w:t>
            </w:r>
          </w:p>
        </w:tc>
        <w:tc>
          <w:tcPr>
            <w:tcW w:type="dxa" w:w="2494"/>
            <w:tcMar>
              <w:top w:w="15" w:type="dxa"/>
              <w:bottom w:w="15" w:type="dxa"/>
            </w:tcMar>
          </w:tcPr>
          <w:p>
            <w:pPr>
              <w:spacing w:before="0" w:after="0" w:line="240" w:lineRule="auto"/>
              <w:jc w:val="left"/>
            </w:pPr>
            <w:r/>
            <w:r>
              <w:rPr>
                <w:rFonts w:ascii="Times New Roman" w:hAnsi="Times New Roman" w:eastAsia="Times New Roman"/>
                <w:b w:val="0"/>
                <w:i w:val="0"/>
                <w:sz w:val="15"/>
              </w:rPr>
              <w:t>Cross-type PKB value</w:t>
            </w:r>
          </w:p>
        </w:tc>
        <w:tc>
          <w:tcPr>
            <w:tcW w:type="dxa" w:w="1361"/>
            <w:tcMar>
              <w:top w:w="15" w:type="dxa"/>
              <w:bottom w:w="15" w:type="dxa"/>
            </w:tcMar>
          </w:tcPr>
          <w:p>
            <w:pPr>
              <w:spacing w:before="0" w:after="0" w:line="240" w:lineRule="auto"/>
              <w:jc w:val="center"/>
            </w:pPr>
            <w:r/>
            <w:r>
              <w:rPr>
                <w:rFonts w:ascii="Times New Roman" w:hAnsi="Times New Roman" w:eastAsia="Times New Roman"/>
                <w:b w:val="0"/>
                <w:i w:val="0"/>
                <w:sz w:val="15"/>
              </w:rPr>
              <w:t>R09 (partial)</w:t>
            </w:r>
          </w:p>
        </w:tc>
        <w:tc>
          <w:tcPr>
            <w:tcW w:type="dxa" w:w="4309"/>
            <w:tcMar>
              <w:top w:w="15" w:type="dxa"/>
              <w:bottom w:w="15" w:type="dxa"/>
            </w:tcMar>
          </w:tcPr>
          <w:p>
            <w:pPr>
              <w:spacing w:before="0" w:after="0" w:line="240" w:lineRule="auto"/>
              <w:jc w:val="left"/>
            </w:pPr>
            <w:r/>
            <w:r>
              <w:rPr>
                <w:rFonts w:ascii="Times New Roman" w:hAnsi="Times New Roman" w:eastAsia="Times New Roman"/>
                <w:b w:val="0"/>
                <w:i w:val="0"/>
                <w:sz w:val="15"/>
              </w:rPr>
              <w:t>motorcycle ↔ car principal drawn from the other type's distribution</w:t>
            </w:r>
          </w:p>
        </w:tc>
      </w:tr>
      <w:tr>
        <w:tc>
          <w:tcPr>
            <w:tcW w:type="dxa" w:w="567"/>
            <w:tcMar>
              <w:top w:w="15" w:type="dxa"/>
              <w:bottom w:w="15" w:type="dxa"/>
            </w:tcMar>
          </w:tcPr>
          <w:p>
            <w:pPr>
              <w:spacing w:before="0" w:after="0" w:line="240" w:lineRule="auto"/>
              <w:jc w:val="left"/>
            </w:pPr>
            <w:r/>
            <w:r>
              <w:rPr>
                <w:rFonts w:ascii="Times New Roman" w:hAnsi="Times New Roman" w:eastAsia="Times New Roman"/>
                <w:b w:val="0"/>
                <w:i w:val="0"/>
                <w:sz w:val="15"/>
              </w:rPr>
              <w:t>A4</w:t>
            </w:r>
          </w:p>
        </w:tc>
        <w:tc>
          <w:tcPr>
            <w:tcW w:type="dxa" w:w="2494"/>
            <w:tcMar>
              <w:top w:w="15" w:type="dxa"/>
              <w:bottom w:w="15" w:type="dxa"/>
            </w:tcMar>
          </w:tcPr>
          <w:p>
            <w:pPr>
              <w:spacing w:before="0" w:after="0" w:line="240" w:lineRule="auto"/>
              <w:jc w:val="left"/>
            </w:pPr>
            <w:r/>
            <w:r>
              <w:rPr>
                <w:rFonts w:ascii="Times New Roman" w:hAnsi="Times New Roman" w:eastAsia="Times New Roman"/>
                <w:b w:val="0"/>
                <w:i w:val="0"/>
                <w:sz w:val="15"/>
              </w:rPr>
              <w:t>Digit error in principal (x10 or /10)</w:t>
            </w:r>
          </w:p>
        </w:tc>
        <w:tc>
          <w:tcPr>
            <w:tcW w:type="dxa" w:w="1361"/>
            <w:tcMar>
              <w:top w:w="15" w:type="dxa"/>
              <w:bottom w:w="15" w:type="dxa"/>
            </w:tcMar>
          </w:tcPr>
          <w:p>
            <w:pPr>
              <w:spacing w:before="0" w:after="0" w:line="240" w:lineRule="auto"/>
              <w:jc w:val="left"/>
            </w:pPr>
            <w:r/>
            <w:r>
              <w:rPr>
                <w:rFonts w:ascii="Times New Roman" w:hAnsi="Times New Roman" w:eastAsia="Times New Roman"/>
                <w:b w:val="0"/>
                <w:i w:val="0"/>
                <w:sz w:val="15"/>
              </w:rPr>
              <w:t>R09/R04 (partial)</w:t>
            </w:r>
          </w:p>
        </w:tc>
        <w:tc>
          <w:tcPr>
            <w:tcW w:type="dxa" w:w="4309"/>
            <w:tcMar>
              <w:top w:w="15" w:type="dxa"/>
              <w:bottom w:w="15" w:type="dxa"/>
            </w:tcMar>
          </w:tcPr>
          <w:p>
            <w:pPr>
              <w:spacing w:before="0" w:after="0" w:line="240" w:lineRule="auto"/>
              <w:jc w:val="left"/>
            </w:pPr>
            <w:r/>
            <w:r>
              <w:rPr>
                <w:rFonts w:ascii="Times New Roman" w:hAnsi="Times New Roman" w:eastAsia="Times New Roman"/>
                <w:b w:val="0"/>
                <w:i w:val="0"/>
                <w:sz w:val="15"/>
              </w:rPr>
              <w:t>PKB principal ×10 or ÷10, penalty unchanged</w:t>
            </w:r>
          </w:p>
        </w:tc>
      </w:tr>
      <w:tr>
        <w:tc>
          <w:tcPr>
            <w:tcW w:type="dxa" w:w="567"/>
            <w:tcMar>
              <w:top w:w="15" w:type="dxa"/>
              <w:bottom w:w="15" w:type="dxa"/>
            </w:tcMar>
          </w:tcPr>
          <w:p>
            <w:pPr>
              <w:spacing w:before="0" w:after="0" w:line="240" w:lineRule="auto"/>
              <w:jc w:val="left"/>
            </w:pPr>
            <w:r/>
            <w:r>
              <w:rPr>
                <w:rFonts w:ascii="Times New Roman" w:hAnsi="Times New Roman" w:eastAsia="Times New Roman"/>
                <w:b w:val="0"/>
                <w:i w:val="0"/>
                <w:sz w:val="15"/>
              </w:rPr>
              <w:t>A5</w:t>
            </w:r>
          </w:p>
        </w:tc>
        <w:tc>
          <w:tcPr>
            <w:tcW w:type="dxa" w:w="2494"/>
            <w:tcMar>
              <w:top w:w="15" w:type="dxa"/>
              <w:bottom w:w="15" w:type="dxa"/>
            </w:tcMar>
          </w:tcPr>
          <w:p>
            <w:pPr>
              <w:spacing w:before="0" w:after="0" w:line="240" w:lineRule="auto"/>
              <w:jc w:val="left"/>
            </w:pPr>
            <w:r/>
            <w:r>
              <w:rPr>
                <w:rFonts w:ascii="Times New Roman" w:hAnsi="Times New Roman" w:eastAsia="Times New Roman"/>
                <w:b w:val="0"/>
                <w:i w:val="0"/>
                <w:sz w:val="15"/>
              </w:rPr>
              <w:t>Swapped vehicle-type code</w:t>
            </w:r>
          </w:p>
        </w:tc>
        <w:tc>
          <w:tcPr>
            <w:tcW w:type="dxa" w:w="1361"/>
            <w:tcMar>
              <w:top w:w="15" w:type="dxa"/>
              <w:bottom w:w="15" w:type="dxa"/>
            </w:tcMar>
          </w:tcPr>
          <w:p>
            <w:pPr>
              <w:spacing w:before="0" w:after="0" w:line="240" w:lineRule="auto"/>
              <w:jc w:val="center"/>
            </w:pPr>
            <w:r/>
            <w:r>
              <w:rPr>
                <w:rFonts w:ascii="Times New Roman" w:hAnsi="Times New Roman" w:eastAsia="Times New Roman"/>
                <w:b w:val="0"/>
                <w:i w:val="0"/>
                <w:sz w:val="15"/>
              </w:rPr>
              <w:t>R09</w:t>
            </w:r>
          </w:p>
        </w:tc>
        <w:tc>
          <w:tcPr>
            <w:tcW w:type="dxa" w:w="4309"/>
            <w:tcMar>
              <w:top w:w="15" w:type="dxa"/>
              <w:bottom w:w="15" w:type="dxa"/>
            </w:tcMar>
          </w:tcPr>
          <w:p>
            <w:pPr>
              <w:spacing w:before="0" w:after="0" w:line="240" w:lineRule="auto"/>
              <w:jc w:val="left"/>
            </w:pPr>
            <w:r/>
            <w:r>
              <w:rPr>
                <w:rFonts w:ascii="Times New Roman" w:hAnsi="Times New Roman" w:eastAsia="Times New Roman"/>
                <w:b w:val="0"/>
                <w:i w:val="0"/>
                <w:sz w:val="15"/>
              </w:rPr>
              <w:t>kd_jenis_kb motorcycle ↔ car/goods vehicle, amounts unchanged</w:t>
            </w:r>
          </w:p>
        </w:tc>
      </w:tr>
      <w:tr>
        <w:tc>
          <w:tcPr>
            <w:tcW w:type="dxa" w:w="567"/>
            <w:tcMar>
              <w:top w:w="15" w:type="dxa"/>
              <w:bottom w:w="15" w:type="dxa"/>
            </w:tcMar>
          </w:tcPr>
          <w:p>
            <w:pPr>
              <w:spacing w:before="0" w:after="0" w:line="240" w:lineRule="auto"/>
              <w:jc w:val="left"/>
            </w:pPr>
            <w:r/>
            <w:r>
              <w:rPr>
                <w:rFonts w:ascii="Times New Roman" w:hAnsi="Times New Roman" w:eastAsia="Times New Roman"/>
                <w:b w:val="0"/>
                <w:i w:val="0"/>
                <w:sz w:val="15"/>
              </w:rPr>
              <w:t>A6</w:t>
            </w:r>
          </w:p>
        </w:tc>
        <w:tc>
          <w:tcPr>
            <w:tcW w:type="dxa" w:w="2494"/>
            <w:tcMar>
              <w:top w:w="15" w:type="dxa"/>
              <w:bottom w:w="15" w:type="dxa"/>
            </w:tcMar>
          </w:tcPr>
          <w:p>
            <w:pPr>
              <w:spacing w:before="0" w:after="0" w:line="240" w:lineRule="auto"/>
              <w:jc w:val="left"/>
            </w:pPr>
            <w:r/>
            <w:r>
              <w:rPr>
                <w:rFonts w:ascii="Times New Roman" w:hAnsi="Times New Roman" w:eastAsia="Times New Roman"/>
                <w:b w:val="0"/>
                <w:i w:val="0"/>
                <w:sz w:val="15"/>
              </w:rPr>
              <w:t>Wrong arrears penalty rate</w:t>
            </w:r>
          </w:p>
        </w:tc>
        <w:tc>
          <w:tcPr>
            <w:tcW w:type="dxa" w:w="1361"/>
            <w:tcMar>
              <w:top w:w="15" w:type="dxa"/>
              <w:bottom w:w="15" w:type="dxa"/>
            </w:tcMar>
          </w:tcPr>
          <w:p>
            <w:pPr>
              <w:spacing w:before="0" w:after="0" w:line="240" w:lineRule="auto"/>
              <w:jc w:val="center"/>
            </w:pPr>
            <w:r/>
            <w:r>
              <w:rPr>
                <w:rFonts w:ascii="Times New Roman" w:hAnsi="Times New Roman" w:eastAsia="Times New Roman"/>
                <w:b w:val="0"/>
                <w:i w:val="0"/>
                <w:sz w:val="15"/>
              </w:rPr>
              <w:t>R03</w:t>
            </w:r>
          </w:p>
        </w:tc>
        <w:tc>
          <w:tcPr>
            <w:tcW w:type="dxa" w:w="4309"/>
            <w:tcMar>
              <w:top w:w="15" w:type="dxa"/>
              <w:bottom w:w="15" w:type="dxa"/>
            </w:tcMar>
          </w:tcPr>
          <w:p>
            <w:pPr>
              <w:spacing w:before="0" w:after="0" w:line="240" w:lineRule="auto"/>
              <w:jc w:val="left"/>
            </w:pPr>
            <w:r/>
            <w:r>
              <w:rPr>
                <w:rFonts w:ascii="Times New Roman" w:hAnsi="Times New Roman" w:eastAsia="Times New Roman"/>
                <w:b w:val="0"/>
                <w:i w:val="0"/>
                <w:sz w:val="15"/>
              </w:rPr>
              <w:t>arrears penalty 5–18% or 32–50% of arrears</w:t>
            </w:r>
          </w:p>
        </w:tc>
      </w:tr>
      <w:tr>
        <w:tc>
          <w:tcPr>
            <w:tcW w:type="dxa" w:w="567"/>
            <w:tcMar>
              <w:top w:w="15" w:type="dxa"/>
              <w:bottom w:w="15" w:type="dxa"/>
            </w:tcMar>
          </w:tcPr>
          <w:p>
            <w:pPr>
              <w:spacing w:before="0" w:after="0" w:line="240" w:lineRule="auto"/>
              <w:jc w:val="left"/>
            </w:pPr>
            <w:r/>
            <w:r>
              <w:rPr>
                <w:rFonts w:ascii="Times New Roman" w:hAnsi="Times New Roman" w:eastAsia="Times New Roman"/>
                <w:b w:val="0"/>
                <w:i w:val="0"/>
                <w:sz w:val="15"/>
              </w:rPr>
              <w:t>A7</w:t>
            </w:r>
          </w:p>
        </w:tc>
        <w:tc>
          <w:tcPr>
            <w:tcW w:type="dxa" w:w="2494"/>
            <w:tcMar>
              <w:top w:w="15" w:type="dxa"/>
              <w:bottom w:w="15" w:type="dxa"/>
            </w:tcMar>
          </w:tcPr>
          <w:p>
            <w:pPr>
              <w:spacing w:before="0" w:after="0" w:line="240" w:lineRule="auto"/>
              <w:jc w:val="left"/>
            </w:pPr>
            <w:r/>
            <w:r>
              <w:rPr>
                <w:rFonts w:ascii="Times New Roman" w:hAnsi="Times New Roman" w:eastAsia="Times New Roman"/>
                <w:b w:val="0"/>
                <w:i w:val="0"/>
                <w:sz w:val="15"/>
              </w:rPr>
              <w:t>Inflated arrears (x2.5-5)</w:t>
            </w:r>
          </w:p>
        </w:tc>
        <w:tc>
          <w:tcPr>
            <w:tcW w:type="dxa" w:w="1361"/>
            <w:tcMar>
              <w:top w:w="15" w:type="dxa"/>
              <w:bottom w:w="15" w:type="dxa"/>
            </w:tcMar>
          </w:tcPr>
          <w:p>
            <w:pPr>
              <w:spacing w:before="0" w:after="0" w:line="240" w:lineRule="auto"/>
              <w:jc w:val="center"/>
            </w:pPr>
            <w:r/>
            <w:r>
              <w:rPr>
                <w:rFonts w:ascii="Times New Roman" w:hAnsi="Times New Roman" w:eastAsia="Times New Roman"/>
                <w:b w:val="0"/>
                <w:i w:val="0"/>
                <w:sz w:val="15"/>
              </w:rPr>
              <w:t>R10 (partial)</w:t>
            </w:r>
          </w:p>
        </w:tc>
        <w:tc>
          <w:tcPr>
            <w:tcW w:type="dxa" w:w="4309"/>
            <w:tcMar>
              <w:top w:w="15" w:type="dxa"/>
              <w:bottom w:w="15" w:type="dxa"/>
            </w:tcMar>
          </w:tcPr>
          <w:p>
            <w:pPr>
              <w:spacing w:before="0" w:after="0" w:line="240" w:lineRule="auto"/>
              <w:jc w:val="left"/>
            </w:pPr>
            <w:r/>
            <w:r>
              <w:rPr>
                <w:rFonts w:ascii="Times New Roman" w:hAnsi="Times New Roman" w:eastAsia="Times New Roman"/>
                <w:b w:val="0"/>
                <w:i w:val="0"/>
                <w:sz w:val="15"/>
              </w:rPr>
              <w:t>arrears principal &amp; penalty ×2.5–5 (25% ratio preserved)</w:t>
            </w:r>
          </w:p>
        </w:tc>
      </w:tr>
      <w:tr>
        <w:tc>
          <w:tcPr>
            <w:tcW w:type="dxa" w:w="567"/>
            <w:tcMar>
              <w:top w:w="15" w:type="dxa"/>
              <w:bottom w:w="15" w:type="dxa"/>
            </w:tcMar>
          </w:tcPr>
          <w:p>
            <w:pPr>
              <w:spacing w:before="0" w:after="0" w:line="240" w:lineRule="auto"/>
              <w:jc w:val="left"/>
            </w:pPr>
            <w:r/>
            <w:r>
              <w:rPr>
                <w:rFonts w:ascii="Times New Roman" w:hAnsi="Times New Roman" w:eastAsia="Times New Roman"/>
                <w:b w:val="0"/>
                <w:i w:val="0"/>
                <w:sz w:val="15"/>
              </w:rPr>
              <w:t>A8</w:t>
            </w:r>
          </w:p>
        </w:tc>
        <w:tc>
          <w:tcPr>
            <w:tcW w:type="dxa" w:w="2494"/>
            <w:tcMar>
              <w:top w:w="15" w:type="dxa"/>
              <w:bottom w:w="15" w:type="dxa"/>
            </w:tcMar>
          </w:tcPr>
          <w:p>
            <w:pPr>
              <w:spacing w:before="0" w:after="0" w:line="240" w:lineRule="auto"/>
              <w:jc w:val="left"/>
            </w:pPr>
            <w:r/>
            <w:r>
              <w:rPr>
                <w:rFonts w:ascii="Times New Roman" w:hAnsi="Times New Roman" w:eastAsia="Times New Roman"/>
                <w:b w:val="0"/>
                <w:i w:val="0"/>
                <w:sz w:val="15"/>
              </w:rPr>
              <w:t>Implausible transfer fee (x or / 5-12)</w:t>
            </w:r>
          </w:p>
        </w:tc>
        <w:tc>
          <w:tcPr>
            <w:tcW w:type="dxa" w:w="1361"/>
            <w:tcMar>
              <w:top w:w="15" w:type="dxa"/>
              <w:bottom w:w="15" w:type="dxa"/>
            </w:tcMar>
          </w:tcPr>
          <w:p>
            <w:pPr>
              <w:spacing w:before="0" w:after="0" w:line="240" w:lineRule="auto"/>
              <w:jc w:val="center"/>
            </w:pPr>
            <w:r/>
            <w:r>
              <w:rPr>
                <w:rFonts w:ascii="Times New Roman" w:hAnsi="Times New Roman" w:eastAsia="Times New Roman"/>
                <w:b w:val="0"/>
                <w:i w:val="0"/>
                <w:sz w:val="15"/>
              </w:rPr>
              <w:t>– (no rule)</w:t>
            </w:r>
          </w:p>
        </w:tc>
        <w:tc>
          <w:tcPr>
            <w:tcW w:type="dxa" w:w="4309"/>
            <w:tcMar>
              <w:top w:w="15" w:type="dxa"/>
              <w:bottom w:w="15" w:type="dxa"/>
            </w:tcMar>
          </w:tcPr>
          <w:p>
            <w:pPr>
              <w:spacing w:before="0" w:after="0" w:line="240" w:lineRule="auto"/>
              <w:jc w:val="left"/>
            </w:pPr>
            <w:r/>
            <w:r>
              <w:rPr>
                <w:rFonts w:ascii="Times New Roman" w:hAnsi="Times New Roman" w:eastAsia="Times New Roman"/>
                <w:b w:val="0"/>
                <w:i w:val="0"/>
                <w:sz w:val="15"/>
              </w:rPr>
              <w:t>BBNKB ×5–12 or ÷5–12</w:t>
            </w:r>
          </w:p>
        </w:tc>
      </w:tr>
    </w:tbl>
    <w:p>
      <w:pPr>
        <w:spacing w:before="0" w:after="0" w:line="240" w:lineRule="auto"/>
        <w:jc w:val="both"/>
      </w:pPr>
    </w:p>
    <w:p>
      <w:pPr>
        <w:spacing w:before="0" w:after="0" w:line="240" w:lineRule="auto"/>
        <w:jc w:val="both"/>
      </w:pPr>
    </w:p>
    <w:p>
      <w:pPr>
        <w:keepNext/>
        <w:spacing w:before="0" w:after="60" w:line="240" w:lineRule="auto"/>
        <w:jc w:val="left"/>
      </w:pPr>
      <w:r>
        <w:rPr>
          <w:rFonts w:ascii="Times New Roman" w:hAnsi="Times New Roman" w:eastAsia="Times New Roman"/>
          <w:b/>
          <w:i w:val="0"/>
          <w:sz w:val="20"/>
        </w:rPr>
        <w:t>3. Results and Discussion</w:t>
      </w:r>
    </w:p>
    <w:p>
      <w:pPr>
        <w:keepNext/>
        <w:spacing w:before="80" w:after="40" w:line="240" w:lineRule="auto"/>
        <w:jc w:val="left"/>
      </w:pPr>
      <w:r>
        <w:rPr>
          <w:rFonts w:ascii="Times New Roman" w:hAnsi="Times New Roman" w:eastAsia="Times New Roman"/>
          <w:b/>
          <w:i w:val="0"/>
          <w:sz w:val="20"/>
        </w:rPr>
        <w:t>3.1 Data-quality profile and coding-scheme drift</w:t>
      </w:r>
    </w:p>
    <w:p>
      <w:pPr>
        <w:spacing w:before="0" w:after="0" w:line="240" w:lineRule="auto"/>
        <w:jc w:val="both"/>
      </w:pPr>
      <w:r>
        <w:rPr>
          <w:rFonts w:ascii="Times New Roman" w:hAnsi="Times New Roman" w:eastAsia="Times New Roman"/>
          <w:b w:val="0"/>
          <w:i w:val="0"/>
          <w:sz w:val="20"/>
        </w:rPr>
        <w:t>Figure 3 shows that in 2024 status codes 3/4 were entirely replaced by 5/6 (JSD = 1.000), and re-registrations with a mutation moved from application code 1 to 2 (pair 1|7 → 2|7 with equivalent volume; JSD = 0.189). After harmonisation the JSD fell to 0.0007 and 0.0070. Without this step, thousands of 2024 transactions would be wrongly flagged as inconsistent codes and the ML detectors would suffer distribution shift, underlining the importance of drift monitoring on operational data [26].</w:t>
      </w:r>
    </w:p>
    <w:p>
      <w:pPr>
        <w:keepNext/>
        <w:spacing w:before="80" w:after="0" w:line="240" w:lineRule="auto"/>
        <w:jc w:val="center"/>
      </w:pPr>
      <w:r>
        <w:drawing>
          <wp:inline xmlns:a="http://schemas.openxmlformats.org/drawingml/2006/main" xmlns:pic="http://schemas.openxmlformats.org/drawingml/2006/picture">
            <wp:extent cx="5220000" cy="2474450"/>
            <wp:docPr id="3" name="Picture 3"/>
            <wp:cNvGraphicFramePr>
              <a:graphicFrameLocks noChangeAspect="1"/>
            </wp:cNvGraphicFramePr>
            <a:graphic>
              <a:graphicData uri="http://schemas.openxmlformats.org/drawingml/2006/picture">
                <pic:pic>
                  <pic:nvPicPr>
                    <pic:cNvPr id="0" name="F16_pergeseran_kode.png"/>
                    <pic:cNvPicPr/>
                  </pic:nvPicPr>
                  <pic:blipFill>
                    <a:blip r:embed="rId15"/>
                    <a:stretch>
                      <a:fillRect/>
                    </a:stretch>
                  </pic:blipFill>
                  <pic:spPr>
                    <a:xfrm>
                      <a:off x="0" y="0"/>
                      <a:ext cx="5220000" cy="2474450"/>
                    </a:xfrm>
                    <a:prstGeom prst="rect"/>
                  </pic:spPr>
                </pic:pic>
              </a:graphicData>
            </a:graphic>
          </wp:inline>
        </w:drawing>
      </w:r>
    </w:p>
    <w:p>
      <w:pPr>
        <w:spacing w:before="0" w:after="80" w:line="240" w:lineRule="auto"/>
        <w:jc w:val="center"/>
      </w:pPr>
      <w:r>
        <w:rPr>
          <w:rFonts w:ascii="Times New Roman" w:hAnsi="Times New Roman" w:eastAsia="Times New Roman"/>
          <w:b w:val="0"/>
          <w:i w:val="0"/>
          <w:sz w:val="18"/>
        </w:rPr>
        <w:t>Figure 3: Coding-scheme drift in 2024: JSD before/after harmonisation (left) and volume of code pairs (right)</w:t>
      </w:r>
    </w:p>
    <w:p>
      <w:pPr>
        <w:spacing w:before="0" w:after="0" w:line="240" w:lineRule="auto"/>
        <w:jc w:val="both"/>
      </w:pPr>
      <w:r>
        <w:rPr>
          <w:rFonts w:ascii="Times New Roman" w:hAnsi="Times New Roman" w:eastAsia="Times New Roman"/>
          <w:b w:val="0"/>
          <w:i w:val="0"/>
          <w:sz w:val="20"/>
        </w:rPr>
        <w:t>Overall, 10,103 transactions (5.21%) violated at least one rule (Figure 4). The most frequent violations were implausible PKB values for the vehicle type (R09, about 2.0–2.3% per year) and arrears without current-year principal (R06), which rose from 1.34% (2021) to 2.92% (2024). Arrears without penalty (R02) and off-schedule arrears penalties (R03) appeared in 2021–2022 and disappeared by 2024, consistent with a possible pandemic-era penalty relaxation that should be confirmed with the regional revenue agency. Conversely, R08 jumped to 775 transactions in 2024, mostly from pair 2|4 without BBNKB, i.e. from merging two code meanings into one new code. Recoding therefore does not only relabel values; it also removes semantic information. In addition, there were 7,051 zero-value transactions (3.6%) and 2,763 licence plates in a non-standard format.</w:t>
      </w:r>
    </w:p>
    <w:p>
      <w:pPr>
        <w:keepNext/>
        <w:spacing w:before="80" w:after="0" w:line="240" w:lineRule="auto"/>
        <w:jc w:val="center"/>
      </w:pPr>
      <w:r>
        <w:drawing>
          <wp:inline xmlns:a="http://schemas.openxmlformats.org/drawingml/2006/main" xmlns:pic="http://schemas.openxmlformats.org/drawingml/2006/picture">
            <wp:extent cx="5220000" cy="2385517"/>
            <wp:docPr id="4" name="Picture 4"/>
            <wp:cNvGraphicFramePr>
              <a:graphicFrameLocks noChangeAspect="1"/>
            </wp:cNvGraphicFramePr>
            <a:graphic>
              <a:graphicData uri="http://schemas.openxmlformats.org/drawingml/2006/picture">
                <pic:pic>
                  <pic:nvPicPr>
                    <pic:cNvPr id="0" name="F03_prevalensi_aturan.png"/>
                    <pic:cNvPicPr/>
                  </pic:nvPicPr>
                  <pic:blipFill>
                    <a:blip r:embed="rId16"/>
                    <a:stretch>
                      <a:fillRect/>
                    </a:stretch>
                  </pic:blipFill>
                  <pic:spPr>
                    <a:xfrm>
                      <a:off x="0" y="0"/>
                      <a:ext cx="5220000" cy="2385517"/>
                    </a:xfrm>
                    <a:prstGeom prst="rect"/>
                  </pic:spPr>
                </pic:pic>
              </a:graphicData>
            </a:graphic>
          </wp:inline>
        </w:drawing>
      </w:r>
    </w:p>
    <w:p>
      <w:pPr>
        <w:spacing w:before="0" w:after="80" w:line="240" w:lineRule="auto"/>
        <w:jc w:val="center"/>
      </w:pPr>
      <w:r>
        <w:rPr>
          <w:rFonts w:ascii="Times New Roman" w:hAnsi="Times New Roman" w:eastAsia="Times New Roman"/>
          <w:b w:val="0"/>
          <w:i w:val="0"/>
          <w:sz w:val="18"/>
        </w:rPr>
        <w:t>Figure 4: Prevalence of domain-rule violations per year (percentage and number of transactions)</w:t>
      </w:r>
    </w:p>
    <w:p>
      <w:pPr>
        <w:keepNext/>
        <w:spacing w:before="80" w:after="0" w:line="240" w:lineRule="auto"/>
        <w:jc w:val="center"/>
      </w:pPr>
      <w:r>
        <w:rPr>
          <w:rFonts w:ascii="Times New Roman" w:hAnsi="Times New Roman" w:eastAsia="Times New Roman"/>
          <w:b w:val="0"/>
          <w:i w:val="0"/>
          <w:sz w:val="16"/>
        </w:rPr>
        <w:t>Table 4: SAMSAT data-quality scorecard per dimension (%) and number of rule violations</w:t>
      </w:r>
    </w:p>
    <w:tbl>
      <w:tblPr>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W w:w="8675" w:type="dxa"/>
        <w:tblLayout w:type="fixed"/>
      </w:tblPr>
      <w:tblGrid>
        <w:gridCol w:w="623"/>
        <w:gridCol w:w="1077"/>
        <w:gridCol w:w="850"/>
        <w:gridCol w:w="1020"/>
        <w:gridCol w:w="850"/>
        <w:gridCol w:w="1020"/>
        <w:gridCol w:w="907"/>
        <w:gridCol w:w="850"/>
        <w:gridCol w:w="1474"/>
      </w:tblGrid>
      <w:tr>
        <w:tc>
          <w:tcPr>
            <w:tcW w:type="dxa" w:w="624"/>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Year</w:t>
            </w:r>
          </w:p>
        </w:tc>
        <w:tc>
          <w:tcPr>
            <w:tcW w:type="dxa" w:w="1077"/>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Completeness</w:t>
            </w:r>
          </w:p>
        </w:tc>
        <w:tc>
          <w:tcPr>
            <w:tcW w:type="dxa" w:w="850"/>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Validity</w:t>
            </w:r>
          </w:p>
        </w:tc>
        <w:tc>
          <w:tcPr>
            <w:tcW w:type="dxa" w:w="1020"/>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Consistency</w:t>
            </w:r>
          </w:p>
        </w:tc>
        <w:tc>
          <w:tcPr>
            <w:tcW w:type="dxa" w:w="850"/>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Accuracy</w:t>
            </w:r>
          </w:p>
        </w:tc>
        <w:tc>
          <w:tcPr>
            <w:tcW w:type="dxa" w:w="1020"/>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Plausibility</w:t>
            </w:r>
          </w:p>
        </w:tc>
        <w:tc>
          <w:tcPr>
            <w:tcW w:type="dxa" w:w="907"/>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Uniqueness</w:t>
            </w:r>
          </w:p>
        </w:tc>
        <w:tc>
          <w:tcPr>
            <w:tcW w:type="dxa" w:w="850"/>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DQ index</w:t>
            </w:r>
          </w:p>
        </w:tc>
        <w:tc>
          <w:tcPr>
            <w:tcW w:type="dxa" w:w="1474"/>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Rule violations</w:t>
            </w:r>
          </w:p>
        </w:tc>
      </w:tr>
      <w:tr>
        <w:tc>
          <w:tcPr>
            <w:tcW w:type="dxa" w:w="624"/>
            <w:tcMar>
              <w:top w:w="15" w:type="dxa"/>
              <w:bottom w:w="15" w:type="dxa"/>
            </w:tcMar>
          </w:tcPr>
          <w:p>
            <w:pPr>
              <w:spacing w:before="0" w:after="0" w:line="240" w:lineRule="auto"/>
              <w:jc w:val="left"/>
            </w:pPr>
            <w:r/>
            <w:r>
              <w:rPr>
                <w:rFonts w:ascii="Times New Roman" w:hAnsi="Times New Roman" w:eastAsia="Times New Roman"/>
                <w:b w:val="0"/>
                <w:i w:val="0"/>
                <w:sz w:val="16"/>
              </w:rPr>
              <w:t>2021</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6"/>
              </w:rPr>
              <w:t>100.00</w:t>
            </w:r>
          </w:p>
        </w:tc>
        <w:tc>
          <w:tcPr>
            <w:tcW w:type="dxa" w:w="850"/>
            <w:tcMar>
              <w:top w:w="15" w:type="dxa"/>
              <w:bottom w:w="15" w:type="dxa"/>
            </w:tcMar>
          </w:tcPr>
          <w:p>
            <w:pPr>
              <w:spacing w:before="0" w:after="0" w:line="240" w:lineRule="auto"/>
              <w:jc w:val="center"/>
            </w:pPr>
            <w:r/>
            <w:r>
              <w:rPr>
                <w:rFonts w:ascii="Times New Roman" w:hAnsi="Times New Roman" w:eastAsia="Times New Roman"/>
                <w:b w:val="0"/>
                <w:i w:val="0"/>
                <w:sz w:val="16"/>
              </w:rPr>
              <w:t>98.06</w:t>
            </w:r>
          </w:p>
        </w:tc>
        <w:tc>
          <w:tcPr>
            <w:tcW w:type="dxa" w:w="1020"/>
            <w:tcMar>
              <w:top w:w="15" w:type="dxa"/>
              <w:bottom w:w="15" w:type="dxa"/>
            </w:tcMar>
          </w:tcPr>
          <w:p>
            <w:pPr>
              <w:spacing w:before="0" w:after="0" w:line="240" w:lineRule="auto"/>
              <w:jc w:val="center"/>
            </w:pPr>
            <w:r/>
            <w:r>
              <w:rPr>
                <w:rFonts w:ascii="Times New Roman" w:hAnsi="Times New Roman" w:eastAsia="Times New Roman"/>
                <w:b w:val="0"/>
                <w:i w:val="0"/>
                <w:sz w:val="16"/>
              </w:rPr>
              <w:t>97.69</w:t>
            </w:r>
          </w:p>
        </w:tc>
        <w:tc>
          <w:tcPr>
            <w:tcW w:type="dxa" w:w="850"/>
            <w:tcMar>
              <w:top w:w="15" w:type="dxa"/>
              <w:bottom w:w="15" w:type="dxa"/>
            </w:tcMar>
          </w:tcPr>
          <w:p>
            <w:pPr>
              <w:spacing w:before="0" w:after="0" w:line="240" w:lineRule="auto"/>
              <w:jc w:val="center"/>
            </w:pPr>
            <w:r/>
            <w:r>
              <w:rPr>
                <w:rFonts w:ascii="Times New Roman" w:hAnsi="Times New Roman" w:eastAsia="Times New Roman"/>
                <w:b w:val="0"/>
                <w:i w:val="0"/>
                <w:sz w:val="16"/>
              </w:rPr>
              <w:t>99.74</w:t>
            </w:r>
          </w:p>
        </w:tc>
        <w:tc>
          <w:tcPr>
            <w:tcW w:type="dxa" w:w="1020"/>
            <w:tcMar>
              <w:top w:w="15" w:type="dxa"/>
              <w:bottom w:w="15" w:type="dxa"/>
            </w:tcMar>
          </w:tcPr>
          <w:p>
            <w:pPr>
              <w:spacing w:before="0" w:after="0" w:line="240" w:lineRule="auto"/>
              <w:jc w:val="center"/>
            </w:pPr>
            <w:r/>
            <w:r>
              <w:rPr>
                <w:rFonts w:ascii="Times New Roman" w:hAnsi="Times New Roman" w:eastAsia="Times New Roman"/>
                <w:b w:val="0"/>
                <w:i w:val="0"/>
                <w:sz w:val="16"/>
              </w:rPr>
              <w:t>97.83</w:t>
            </w:r>
          </w:p>
        </w:tc>
        <w:tc>
          <w:tcPr>
            <w:tcW w:type="dxa" w:w="907"/>
            <w:tcMar>
              <w:top w:w="15" w:type="dxa"/>
              <w:bottom w:w="15" w:type="dxa"/>
            </w:tcMar>
          </w:tcPr>
          <w:p>
            <w:pPr>
              <w:spacing w:before="0" w:after="0" w:line="240" w:lineRule="auto"/>
              <w:jc w:val="center"/>
            </w:pPr>
            <w:r/>
            <w:r>
              <w:rPr>
                <w:rFonts w:ascii="Times New Roman" w:hAnsi="Times New Roman" w:eastAsia="Times New Roman"/>
                <w:b w:val="0"/>
                <w:i w:val="0"/>
                <w:sz w:val="16"/>
              </w:rPr>
              <w:t>100.00</w:t>
            </w:r>
          </w:p>
        </w:tc>
        <w:tc>
          <w:tcPr>
            <w:tcW w:type="dxa" w:w="850"/>
            <w:tcMar>
              <w:top w:w="15" w:type="dxa"/>
              <w:bottom w:w="15" w:type="dxa"/>
            </w:tcMar>
          </w:tcPr>
          <w:p>
            <w:pPr>
              <w:spacing w:before="0" w:after="0" w:line="240" w:lineRule="auto"/>
              <w:jc w:val="center"/>
            </w:pPr>
            <w:r/>
            <w:r>
              <w:rPr>
                <w:rFonts w:ascii="Times New Roman" w:hAnsi="Times New Roman" w:eastAsia="Times New Roman"/>
                <w:b w:val="0"/>
                <w:i w:val="0"/>
                <w:sz w:val="16"/>
              </w:rPr>
              <w:t>98.89</w:t>
            </w:r>
          </w:p>
        </w:tc>
        <w:tc>
          <w:tcPr>
            <w:tcW w:type="dxa" w:w="1474"/>
            <w:tcMar>
              <w:top w:w="15" w:type="dxa"/>
              <w:bottom w:w="15" w:type="dxa"/>
            </w:tcMar>
          </w:tcPr>
          <w:p>
            <w:pPr>
              <w:spacing w:before="0" w:after="0" w:line="240" w:lineRule="auto"/>
              <w:jc w:val="center"/>
            </w:pPr>
            <w:r/>
            <w:r>
              <w:rPr>
                <w:rFonts w:ascii="Times New Roman" w:hAnsi="Times New Roman" w:eastAsia="Times New Roman"/>
                <w:b w:val="0"/>
                <w:i w:val="0"/>
                <w:sz w:val="16"/>
              </w:rPr>
              <w:t>2,131 (4.66%)</w:t>
            </w:r>
          </w:p>
        </w:tc>
      </w:tr>
      <w:tr>
        <w:tc>
          <w:tcPr>
            <w:tcW w:type="dxa" w:w="624"/>
            <w:tcMar>
              <w:top w:w="15" w:type="dxa"/>
              <w:bottom w:w="15" w:type="dxa"/>
            </w:tcMar>
          </w:tcPr>
          <w:p>
            <w:pPr>
              <w:spacing w:before="0" w:after="0" w:line="240" w:lineRule="auto"/>
              <w:jc w:val="left"/>
            </w:pPr>
            <w:r/>
            <w:r>
              <w:rPr>
                <w:rFonts w:ascii="Times New Roman" w:hAnsi="Times New Roman" w:eastAsia="Times New Roman"/>
                <w:b w:val="0"/>
                <w:i w:val="0"/>
                <w:sz w:val="16"/>
              </w:rPr>
              <w:t>2022</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6"/>
              </w:rPr>
              <w:t>100.00</w:t>
            </w:r>
          </w:p>
        </w:tc>
        <w:tc>
          <w:tcPr>
            <w:tcW w:type="dxa" w:w="850"/>
            <w:tcMar>
              <w:top w:w="15" w:type="dxa"/>
              <w:bottom w:w="15" w:type="dxa"/>
            </w:tcMar>
          </w:tcPr>
          <w:p>
            <w:pPr>
              <w:spacing w:before="0" w:after="0" w:line="240" w:lineRule="auto"/>
              <w:jc w:val="center"/>
            </w:pPr>
            <w:r/>
            <w:r>
              <w:rPr>
                <w:rFonts w:ascii="Times New Roman" w:hAnsi="Times New Roman" w:eastAsia="Times New Roman"/>
                <w:b w:val="0"/>
                <w:i w:val="0"/>
                <w:sz w:val="16"/>
              </w:rPr>
              <w:t>98.46</w:t>
            </w:r>
          </w:p>
        </w:tc>
        <w:tc>
          <w:tcPr>
            <w:tcW w:type="dxa" w:w="1020"/>
            <w:tcMar>
              <w:top w:w="15" w:type="dxa"/>
              <w:bottom w:w="15" w:type="dxa"/>
            </w:tcMar>
          </w:tcPr>
          <w:p>
            <w:pPr>
              <w:spacing w:before="0" w:after="0" w:line="240" w:lineRule="auto"/>
              <w:jc w:val="center"/>
            </w:pPr>
            <w:r/>
            <w:r>
              <w:rPr>
                <w:rFonts w:ascii="Times New Roman" w:hAnsi="Times New Roman" w:eastAsia="Times New Roman"/>
                <w:b w:val="0"/>
                <w:i w:val="0"/>
                <w:sz w:val="16"/>
              </w:rPr>
              <w:t>97.52</w:t>
            </w:r>
          </w:p>
        </w:tc>
        <w:tc>
          <w:tcPr>
            <w:tcW w:type="dxa" w:w="850"/>
            <w:tcMar>
              <w:top w:w="15" w:type="dxa"/>
              <w:bottom w:w="15" w:type="dxa"/>
            </w:tcMar>
          </w:tcPr>
          <w:p>
            <w:pPr>
              <w:spacing w:before="0" w:after="0" w:line="240" w:lineRule="auto"/>
              <w:jc w:val="center"/>
            </w:pPr>
            <w:r/>
            <w:r>
              <w:rPr>
                <w:rFonts w:ascii="Times New Roman" w:hAnsi="Times New Roman" w:eastAsia="Times New Roman"/>
                <w:b w:val="0"/>
                <w:i w:val="0"/>
                <w:sz w:val="16"/>
              </w:rPr>
              <w:t>99.78</w:t>
            </w:r>
          </w:p>
        </w:tc>
        <w:tc>
          <w:tcPr>
            <w:tcW w:type="dxa" w:w="1020"/>
            <w:tcMar>
              <w:top w:w="15" w:type="dxa"/>
              <w:bottom w:w="15" w:type="dxa"/>
            </w:tcMar>
          </w:tcPr>
          <w:p>
            <w:pPr>
              <w:spacing w:before="0" w:after="0" w:line="240" w:lineRule="auto"/>
              <w:jc w:val="center"/>
            </w:pPr>
            <w:r/>
            <w:r>
              <w:rPr>
                <w:rFonts w:ascii="Times New Roman" w:hAnsi="Times New Roman" w:eastAsia="Times New Roman"/>
                <w:b w:val="0"/>
                <w:i w:val="0"/>
                <w:sz w:val="16"/>
              </w:rPr>
              <w:t>97.54</w:t>
            </w:r>
          </w:p>
        </w:tc>
        <w:tc>
          <w:tcPr>
            <w:tcW w:type="dxa" w:w="907"/>
            <w:tcMar>
              <w:top w:w="15" w:type="dxa"/>
              <w:bottom w:w="15" w:type="dxa"/>
            </w:tcMar>
          </w:tcPr>
          <w:p>
            <w:pPr>
              <w:spacing w:before="0" w:after="0" w:line="240" w:lineRule="auto"/>
              <w:jc w:val="center"/>
            </w:pPr>
            <w:r/>
            <w:r>
              <w:rPr>
                <w:rFonts w:ascii="Times New Roman" w:hAnsi="Times New Roman" w:eastAsia="Times New Roman"/>
                <w:b w:val="0"/>
                <w:i w:val="0"/>
                <w:sz w:val="16"/>
              </w:rPr>
              <w:t>100.00</w:t>
            </w:r>
          </w:p>
        </w:tc>
        <w:tc>
          <w:tcPr>
            <w:tcW w:type="dxa" w:w="850"/>
            <w:tcMar>
              <w:top w:w="15" w:type="dxa"/>
              <w:bottom w:w="15" w:type="dxa"/>
            </w:tcMar>
          </w:tcPr>
          <w:p>
            <w:pPr>
              <w:spacing w:before="0" w:after="0" w:line="240" w:lineRule="auto"/>
              <w:jc w:val="center"/>
            </w:pPr>
            <w:r/>
            <w:r>
              <w:rPr>
                <w:rFonts w:ascii="Times New Roman" w:hAnsi="Times New Roman" w:eastAsia="Times New Roman"/>
                <w:b w:val="0"/>
                <w:i w:val="0"/>
                <w:sz w:val="16"/>
              </w:rPr>
              <w:t>98.88</w:t>
            </w:r>
          </w:p>
        </w:tc>
        <w:tc>
          <w:tcPr>
            <w:tcW w:type="dxa" w:w="1474"/>
            <w:tcMar>
              <w:top w:w="15" w:type="dxa"/>
              <w:bottom w:w="15" w:type="dxa"/>
            </w:tcMar>
          </w:tcPr>
          <w:p>
            <w:pPr>
              <w:spacing w:before="0" w:after="0" w:line="240" w:lineRule="auto"/>
              <w:jc w:val="center"/>
            </w:pPr>
            <w:r/>
            <w:r>
              <w:rPr>
                <w:rFonts w:ascii="Times New Roman" w:hAnsi="Times New Roman" w:eastAsia="Times New Roman"/>
                <w:b w:val="0"/>
                <w:i w:val="0"/>
                <w:sz w:val="16"/>
              </w:rPr>
              <w:t>2,249 (5.12%)</w:t>
            </w:r>
          </w:p>
        </w:tc>
      </w:tr>
      <w:tr>
        <w:tc>
          <w:tcPr>
            <w:tcW w:type="dxa" w:w="624"/>
            <w:tcMar>
              <w:top w:w="15" w:type="dxa"/>
              <w:bottom w:w="15" w:type="dxa"/>
            </w:tcMar>
          </w:tcPr>
          <w:p>
            <w:pPr>
              <w:spacing w:before="0" w:after="0" w:line="240" w:lineRule="auto"/>
              <w:jc w:val="left"/>
            </w:pPr>
            <w:r/>
            <w:r>
              <w:rPr>
                <w:rFonts w:ascii="Times New Roman" w:hAnsi="Times New Roman" w:eastAsia="Times New Roman"/>
                <w:b w:val="0"/>
                <w:i w:val="0"/>
                <w:sz w:val="16"/>
              </w:rPr>
              <w:t>2023</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6"/>
              </w:rPr>
              <w:t>100.00</w:t>
            </w:r>
          </w:p>
        </w:tc>
        <w:tc>
          <w:tcPr>
            <w:tcW w:type="dxa" w:w="850"/>
            <w:tcMar>
              <w:top w:w="15" w:type="dxa"/>
              <w:bottom w:w="15" w:type="dxa"/>
            </w:tcMar>
          </w:tcPr>
          <w:p>
            <w:pPr>
              <w:spacing w:before="0" w:after="0" w:line="240" w:lineRule="auto"/>
              <w:jc w:val="center"/>
            </w:pPr>
            <w:r/>
            <w:r>
              <w:rPr>
                <w:rFonts w:ascii="Times New Roman" w:hAnsi="Times New Roman" w:eastAsia="Times New Roman"/>
                <w:b w:val="0"/>
                <w:i w:val="0"/>
                <w:sz w:val="16"/>
              </w:rPr>
              <w:t>98.80</w:t>
            </w:r>
          </w:p>
        </w:tc>
        <w:tc>
          <w:tcPr>
            <w:tcW w:type="dxa" w:w="1020"/>
            <w:tcMar>
              <w:top w:w="15" w:type="dxa"/>
              <w:bottom w:w="15" w:type="dxa"/>
            </w:tcMar>
          </w:tcPr>
          <w:p>
            <w:pPr>
              <w:spacing w:before="0" w:after="0" w:line="240" w:lineRule="auto"/>
              <w:jc w:val="center"/>
            </w:pPr>
            <w:r/>
            <w:r>
              <w:rPr>
                <w:rFonts w:ascii="Times New Roman" w:hAnsi="Times New Roman" w:eastAsia="Times New Roman"/>
                <w:b w:val="0"/>
                <w:i w:val="0"/>
                <w:sz w:val="16"/>
              </w:rPr>
              <w:t>97.79</w:t>
            </w:r>
          </w:p>
        </w:tc>
        <w:tc>
          <w:tcPr>
            <w:tcW w:type="dxa" w:w="850"/>
            <w:tcMar>
              <w:top w:w="15" w:type="dxa"/>
              <w:bottom w:w="15" w:type="dxa"/>
            </w:tcMar>
          </w:tcPr>
          <w:p>
            <w:pPr>
              <w:spacing w:before="0" w:after="0" w:line="240" w:lineRule="auto"/>
              <w:jc w:val="center"/>
            </w:pPr>
            <w:r/>
            <w:r>
              <w:rPr>
                <w:rFonts w:ascii="Times New Roman" w:hAnsi="Times New Roman" w:eastAsia="Times New Roman"/>
                <w:b w:val="0"/>
                <w:i w:val="0"/>
                <w:sz w:val="16"/>
              </w:rPr>
              <w:t>100.00</w:t>
            </w:r>
          </w:p>
        </w:tc>
        <w:tc>
          <w:tcPr>
            <w:tcW w:type="dxa" w:w="1020"/>
            <w:tcMar>
              <w:top w:w="15" w:type="dxa"/>
              <w:bottom w:w="15" w:type="dxa"/>
            </w:tcMar>
          </w:tcPr>
          <w:p>
            <w:pPr>
              <w:spacing w:before="0" w:after="0" w:line="240" w:lineRule="auto"/>
              <w:jc w:val="center"/>
            </w:pPr>
            <w:r/>
            <w:r>
              <w:rPr>
                <w:rFonts w:ascii="Times New Roman" w:hAnsi="Times New Roman" w:eastAsia="Times New Roman"/>
                <w:b w:val="0"/>
                <w:i w:val="0"/>
                <w:sz w:val="16"/>
              </w:rPr>
              <w:t>97.52</w:t>
            </w:r>
          </w:p>
        </w:tc>
        <w:tc>
          <w:tcPr>
            <w:tcW w:type="dxa" w:w="907"/>
            <w:tcMar>
              <w:top w:w="15" w:type="dxa"/>
              <w:bottom w:w="15" w:type="dxa"/>
            </w:tcMar>
          </w:tcPr>
          <w:p>
            <w:pPr>
              <w:spacing w:before="0" w:after="0" w:line="240" w:lineRule="auto"/>
              <w:jc w:val="center"/>
            </w:pPr>
            <w:r/>
            <w:r>
              <w:rPr>
                <w:rFonts w:ascii="Times New Roman" w:hAnsi="Times New Roman" w:eastAsia="Times New Roman"/>
                <w:b w:val="0"/>
                <w:i w:val="0"/>
                <w:sz w:val="16"/>
              </w:rPr>
              <w:t>100.00</w:t>
            </w:r>
          </w:p>
        </w:tc>
        <w:tc>
          <w:tcPr>
            <w:tcW w:type="dxa" w:w="850"/>
            <w:tcMar>
              <w:top w:w="15" w:type="dxa"/>
              <w:bottom w:w="15" w:type="dxa"/>
            </w:tcMar>
          </w:tcPr>
          <w:p>
            <w:pPr>
              <w:spacing w:before="0" w:after="0" w:line="240" w:lineRule="auto"/>
              <w:jc w:val="center"/>
            </w:pPr>
            <w:r/>
            <w:r>
              <w:rPr>
                <w:rFonts w:ascii="Times New Roman" w:hAnsi="Times New Roman" w:eastAsia="Times New Roman"/>
                <w:b w:val="0"/>
                <w:i w:val="0"/>
                <w:sz w:val="16"/>
              </w:rPr>
              <w:t>99.02</w:t>
            </w:r>
          </w:p>
        </w:tc>
        <w:tc>
          <w:tcPr>
            <w:tcW w:type="dxa" w:w="1474"/>
            <w:tcMar>
              <w:top w:w="15" w:type="dxa"/>
              <w:bottom w:w="15" w:type="dxa"/>
            </w:tcMar>
          </w:tcPr>
          <w:p>
            <w:pPr>
              <w:spacing w:before="0" w:after="0" w:line="240" w:lineRule="auto"/>
              <w:jc w:val="center"/>
            </w:pPr>
            <w:r/>
            <w:r>
              <w:rPr>
                <w:rFonts w:ascii="Times New Roman" w:hAnsi="Times New Roman" w:eastAsia="Times New Roman"/>
                <w:b w:val="0"/>
                <w:i w:val="0"/>
                <w:sz w:val="16"/>
              </w:rPr>
              <w:t>2,450 (4.68%)</w:t>
            </w:r>
          </w:p>
        </w:tc>
      </w:tr>
      <w:tr>
        <w:tc>
          <w:tcPr>
            <w:tcW w:type="dxa" w:w="624"/>
            <w:tcMar>
              <w:top w:w="15" w:type="dxa"/>
              <w:bottom w:w="15" w:type="dxa"/>
            </w:tcMar>
          </w:tcPr>
          <w:p>
            <w:pPr>
              <w:spacing w:before="0" w:after="0" w:line="240" w:lineRule="auto"/>
              <w:jc w:val="left"/>
            </w:pPr>
            <w:r/>
            <w:r>
              <w:rPr>
                <w:rFonts w:ascii="Times New Roman" w:hAnsi="Times New Roman" w:eastAsia="Times New Roman"/>
                <w:b w:val="0"/>
                <w:i w:val="0"/>
                <w:sz w:val="16"/>
              </w:rPr>
              <w:t>2024</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6"/>
              </w:rPr>
              <w:t>100.00</w:t>
            </w:r>
          </w:p>
        </w:tc>
        <w:tc>
          <w:tcPr>
            <w:tcW w:type="dxa" w:w="850"/>
            <w:tcMar>
              <w:top w:w="15" w:type="dxa"/>
              <w:bottom w:w="15" w:type="dxa"/>
            </w:tcMar>
          </w:tcPr>
          <w:p>
            <w:pPr>
              <w:spacing w:before="0" w:after="0" w:line="240" w:lineRule="auto"/>
              <w:jc w:val="center"/>
            </w:pPr>
            <w:r/>
            <w:r>
              <w:rPr>
                <w:rFonts w:ascii="Times New Roman" w:hAnsi="Times New Roman" w:eastAsia="Times New Roman"/>
                <w:b w:val="0"/>
                <w:i w:val="0"/>
                <w:sz w:val="16"/>
              </w:rPr>
              <w:t>98.89</w:t>
            </w:r>
          </w:p>
        </w:tc>
        <w:tc>
          <w:tcPr>
            <w:tcW w:type="dxa" w:w="1020"/>
            <w:tcMar>
              <w:top w:w="15" w:type="dxa"/>
              <w:bottom w:w="15" w:type="dxa"/>
            </w:tcMar>
          </w:tcPr>
          <w:p>
            <w:pPr>
              <w:spacing w:before="0" w:after="0" w:line="240" w:lineRule="auto"/>
              <w:jc w:val="center"/>
            </w:pPr>
            <w:r/>
            <w:r>
              <w:rPr>
                <w:rFonts w:ascii="Times New Roman" w:hAnsi="Times New Roman" w:eastAsia="Times New Roman"/>
                <w:b w:val="0"/>
                <w:i w:val="0"/>
                <w:sz w:val="16"/>
              </w:rPr>
              <w:t>95.99</w:t>
            </w:r>
          </w:p>
        </w:tc>
        <w:tc>
          <w:tcPr>
            <w:tcW w:type="dxa" w:w="850"/>
            <w:tcMar>
              <w:top w:w="15" w:type="dxa"/>
              <w:bottom w:w="15" w:type="dxa"/>
            </w:tcMar>
          </w:tcPr>
          <w:p>
            <w:pPr>
              <w:spacing w:before="0" w:after="0" w:line="240" w:lineRule="auto"/>
              <w:jc w:val="center"/>
            </w:pPr>
            <w:r/>
            <w:r>
              <w:rPr>
                <w:rFonts w:ascii="Times New Roman" w:hAnsi="Times New Roman" w:eastAsia="Times New Roman"/>
                <w:b w:val="0"/>
                <w:i w:val="0"/>
                <w:sz w:val="16"/>
              </w:rPr>
              <w:t>100.00</w:t>
            </w:r>
          </w:p>
        </w:tc>
        <w:tc>
          <w:tcPr>
            <w:tcW w:type="dxa" w:w="1020"/>
            <w:tcMar>
              <w:top w:w="15" w:type="dxa"/>
              <w:bottom w:w="15" w:type="dxa"/>
            </w:tcMar>
          </w:tcPr>
          <w:p>
            <w:pPr>
              <w:spacing w:before="0" w:after="0" w:line="240" w:lineRule="auto"/>
              <w:jc w:val="center"/>
            </w:pPr>
            <w:r/>
            <w:r>
              <w:rPr>
                <w:rFonts w:ascii="Times New Roman" w:hAnsi="Times New Roman" w:eastAsia="Times New Roman"/>
                <w:b w:val="0"/>
                <w:i w:val="0"/>
                <w:sz w:val="16"/>
              </w:rPr>
              <w:t>97.71</w:t>
            </w:r>
          </w:p>
        </w:tc>
        <w:tc>
          <w:tcPr>
            <w:tcW w:type="dxa" w:w="907"/>
            <w:tcMar>
              <w:top w:w="15" w:type="dxa"/>
              <w:bottom w:w="15" w:type="dxa"/>
            </w:tcMar>
          </w:tcPr>
          <w:p>
            <w:pPr>
              <w:spacing w:before="0" w:after="0" w:line="240" w:lineRule="auto"/>
              <w:jc w:val="center"/>
            </w:pPr>
            <w:r/>
            <w:r>
              <w:rPr>
                <w:rFonts w:ascii="Times New Roman" w:hAnsi="Times New Roman" w:eastAsia="Times New Roman"/>
                <w:b w:val="0"/>
                <w:i w:val="0"/>
                <w:sz w:val="16"/>
              </w:rPr>
              <w:t>100.00</w:t>
            </w:r>
          </w:p>
        </w:tc>
        <w:tc>
          <w:tcPr>
            <w:tcW w:type="dxa" w:w="850"/>
            <w:tcMar>
              <w:top w:w="15" w:type="dxa"/>
              <w:bottom w:w="15" w:type="dxa"/>
            </w:tcMar>
          </w:tcPr>
          <w:p>
            <w:pPr>
              <w:spacing w:before="0" w:after="0" w:line="240" w:lineRule="auto"/>
              <w:jc w:val="center"/>
            </w:pPr>
            <w:r/>
            <w:r>
              <w:rPr>
                <w:rFonts w:ascii="Times New Roman" w:hAnsi="Times New Roman" w:eastAsia="Times New Roman"/>
                <w:b w:val="0"/>
                <w:i w:val="0"/>
                <w:sz w:val="16"/>
              </w:rPr>
              <w:t>98.77</w:t>
            </w:r>
          </w:p>
        </w:tc>
        <w:tc>
          <w:tcPr>
            <w:tcW w:type="dxa" w:w="1474"/>
            <w:tcMar>
              <w:top w:w="15" w:type="dxa"/>
              <w:bottom w:w="15" w:type="dxa"/>
            </w:tcMar>
          </w:tcPr>
          <w:p>
            <w:pPr>
              <w:spacing w:before="0" w:after="0" w:line="240" w:lineRule="auto"/>
              <w:jc w:val="center"/>
            </w:pPr>
            <w:r/>
            <w:r>
              <w:rPr>
                <w:rFonts w:ascii="Times New Roman" w:hAnsi="Times New Roman" w:eastAsia="Times New Roman"/>
                <w:b w:val="0"/>
                <w:i w:val="0"/>
                <w:sz w:val="16"/>
              </w:rPr>
              <w:t>3,273 (6.30%)</w:t>
            </w:r>
          </w:p>
        </w:tc>
      </w:tr>
    </w:tbl>
    <w:p>
      <w:pPr>
        <w:spacing w:before="0" w:after="0" w:line="240" w:lineRule="auto"/>
        <w:jc w:val="both"/>
      </w:pPr>
    </w:p>
    <w:p>
      <w:pPr>
        <w:spacing w:before="0" w:after="0" w:line="240" w:lineRule="auto"/>
        <w:jc w:val="both"/>
      </w:pPr>
      <w:r>
        <w:rPr>
          <w:rFonts w:ascii="Times New Roman" w:hAnsi="Times New Roman" w:eastAsia="Times New Roman"/>
          <w:b w:val="0"/>
          <w:i w:val="0"/>
          <w:sz w:val="20"/>
        </w:rPr>
        <w:t>Table 4 shows a high data-quality index (98.77–99.02%), but the 2024 consistency dimension is the lowest (95.99%). High aggregate scores can hide high-value errors, so transaction-level detection remains necessary.</w:t>
      </w:r>
    </w:p>
    <w:p>
      <w:pPr>
        <w:keepNext/>
        <w:spacing w:before="80" w:after="40" w:line="240" w:lineRule="auto"/>
        <w:jc w:val="left"/>
      </w:pPr>
      <w:r>
        <w:rPr>
          <w:rFonts w:ascii="Times New Roman" w:hAnsi="Times New Roman" w:eastAsia="Times New Roman"/>
          <w:b/>
          <w:i w:val="0"/>
          <w:sz w:val="20"/>
        </w:rPr>
        <w:t>3.2 Detector performance on injected anomalies</w:t>
      </w:r>
    </w:p>
    <w:p>
      <w:pPr>
        <w:keepNext/>
        <w:spacing w:before="80" w:after="0" w:line="240" w:lineRule="auto"/>
        <w:jc w:val="center"/>
      </w:pPr>
      <w:r>
        <w:rPr>
          <w:rFonts w:ascii="Times New Roman" w:hAnsi="Times New Roman" w:eastAsia="Times New Roman"/>
          <w:b w:val="0"/>
          <w:i w:val="0"/>
          <w:sz w:val="16"/>
        </w:rPr>
        <w:t>Table 5: Detector performance comparison (mean ± standard deviation, 10 runs, 2024 test)</w:t>
      </w:r>
    </w:p>
    <w:tbl>
      <w:tblPr>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W w:w="9072" w:type="dxa"/>
        <w:tblLayout w:type="fixed"/>
      </w:tblPr>
      <w:tblGrid>
        <w:gridCol w:w="1530"/>
        <w:gridCol w:w="1311"/>
        <w:gridCol w:w="1311"/>
        <w:gridCol w:w="1311"/>
        <w:gridCol w:w="1311"/>
        <w:gridCol w:w="1311"/>
        <w:gridCol w:w="983"/>
      </w:tblGrid>
      <w:tr>
        <w:tc>
          <w:tcPr>
            <w:tcW w:type="dxa" w:w="1530"/>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Method</w:t>
            </w:r>
          </w:p>
        </w:tc>
        <w:tc>
          <w:tcPr>
            <w:tcW w:type="dxa" w:w="1311"/>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ROC-AUC</w:t>
            </w:r>
          </w:p>
        </w:tc>
        <w:tc>
          <w:tcPr>
            <w:tcW w:type="dxa" w:w="1311"/>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PR-AUC</w:t>
            </w:r>
          </w:p>
        </w:tc>
        <w:tc>
          <w:tcPr>
            <w:tcW w:type="dxa" w:w="1311"/>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P@k</w:t>
            </w:r>
          </w:p>
        </w:tc>
        <w:tc>
          <w:tcPr>
            <w:tcW w:type="dxa" w:w="1311"/>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Recall@5%</w:t>
            </w:r>
          </w:p>
        </w:tc>
        <w:tc>
          <w:tcPr>
            <w:tcW w:type="dxa" w:w="1311"/>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F1</w:t>
            </w:r>
          </w:p>
        </w:tc>
        <w:tc>
          <w:tcPr>
            <w:tcW w:type="dxa" w:w="984"/>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FPR normal</w:t>
            </w:r>
          </w:p>
        </w:tc>
      </w:tr>
      <w:tr>
        <w:tc>
          <w:tcPr>
            <w:tcW w:type="dxa" w:w="1530"/>
            <w:tcMar>
              <w:top w:w="15" w:type="dxa"/>
              <w:bottom w:w="15" w:type="dxa"/>
            </w:tcMar>
          </w:tcPr>
          <w:p>
            <w:pPr>
              <w:spacing w:before="0" w:after="0" w:line="240" w:lineRule="auto"/>
              <w:jc w:val="left"/>
            </w:pPr>
            <w:r/>
            <w:r>
              <w:rPr>
                <w:rFonts w:ascii="Times New Roman" w:hAnsi="Times New Roman" w:eastAsia="Times New Roman"/>
                <w:b w:val="0"/>
                <w:i w:val="0"/>
                <w:sz w:val="16"/>
              </w:rPr>
              <w:t>Rules</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0.905 ± 0.003</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0.817 ± 0.006</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0.810 ± 0.006</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0.812 ± 0.007</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0.895 ± 0.004</w:t>
            </w:r>
          </w:p>
        </w:tc>
        <w:tc>
          <w:tcPr>
            <w:tcW w:type="dxa" w:w="984"/>
            <w:tcMar>
              <w:top w:w="15" w:type="dxa"/>
              <w:bottom w:w="15" w:type="dxa"/>
            </w:tcMar>
          </w:tcPr>
          <w:p>
            <w:pPr>
              <w:spacing w:before="0" w:after="0" w:line="240" w:lineRule="auto"/>
              <w:jc w:val="center"/>
            </w:pPr>
            <w:r/>
            <w:r>
              <w:rPr>
                <w:rFonts w:ascii="Times New Roman" w:hAnsi="Times New Roman" w:eastAsia="Times New Roman"/>
                <w:b w:val="0"/>
                <w:i w:val="0"/>
                <w:sz w:val="16"/>
              </w:rPr>
              <w:t>0.000%</w:t>
            </w:r>
          </w:p>
        </w:tc>
      </w:tr>
      <w:tr>
        <w:tc>
          <w:tcPr>
            <w:tcW w:type="dxa" w:w="1530"/>
            <w:tcMar>
              <w:top w:w="15" w:type="dxa"/>
              <w:bottom w:w="15" w:type="dxa"/>
            </w:tcMar>
          </w:tcPr>
          <w:p>
            <w:pPr>
              <w:spacing w:before="0" w:after="0" w:line="240" w:lineRule="auto"/>
              <w:jc w:val="left"/>
            </w:pPr>
            <w:r/>
            <w:r>
              <w:rPr>
                <w:rFonts w:ascii="Times New Roman" w:hAnsi="Times New Roman" w:eastAsia="Times New Roman"/>
                <w:b w:val="0"/>
                <w:i w:val="0"/>
                <w:sz w:val="16"/>
              </w:rPr>
              <w:t>IF</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0.872 ± 0.005</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0.178 ± 0.005</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0.210 ± 0.012</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0.256 ± 0.009</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0.149 ± 0.013</w:t>
            </w:r>
          </w:p>
        </w:tc>
        <w:tc>
          <w:tcPr>
            <w:tcW w:type="dxa" w:w="984"/>
            <w:tcMar>
              <w:top w:w="15" w:type="dxa"/>
              <w:bottom w:w="15" w:type="dxa"/>
            </w:tcMar>
          </w:tcPr>
          <w:p>
            <w:pPr>
              <w:spacing w:before="0" w:after="0" w:line="240" w:lineRule="auto"/>
              <w:jc w:val="center"/>
            </w:pPr>
            <w:r/>
            <w:r>
              <w:rPr>
                <w:rFonts w:ascii="Times New Roman" w:hAnsi="Times New Roman" w:eastAsia="Times New Roman"/>
                <w:b w:val="0"/>
                <w:i w:val="0"/>
                <w:sz w:val="16"/>
              </w:rPr>
              <w:t>1.105%</w:t>
            </w:r>
          </w:p>
        </w:tc>
      </w:tr>
      <w:tr>
        <w:tc>
          <w:tcPr>
            <w:tcW w:type="dxa" w:w="1530"/>
            <w:tcMar>
              <w:top w:w="15" w:type="dxa"/>
              <w:bottom w:w="15" w:type="dxa"/>
            </w:tcMar>
          </w:tcPr>
          <w:p>
            <w:pPr>
              <w:spacing w:before="0" w:after="0" w:line="240" w:lineRule="auto"/>
              <w:jc w:val="left"/>
            </w:pPr>
            <w:r/>
            <w:r>
              <w:rPr>
                <w:rFonts w:ascii="Times New Roman" w:hAnsi="Times New Roman" w:eastAsia="Times New Roman"/>
                <w:b w:val="0"/>
                <w:i w:val="0"/>
                <w:sz w:val="16"/>
              </w:rPr>
              <w:t>LOF</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0.830 ± 0.017</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0.133 ± 0.013</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0.034 ± 0.007</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0.035 ± 0.006</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0.045 ± 0.011</w:t>
            </w:r>
          </w:p>
        </w:tc>
        <w:tc>
          <w:tcPr>
            <w:tcW w:type="dxa" w:w="984"/>
            <w:tcMar>
              <w:top w:w="15" w:type="dxa"/>
              <w:bottom w:w="15" w:type="dxa"/>
            </w:tcMar>
          </w:tcPr>
          <w:p>
            <w:pPr>
              <w:spacing w:before="0" w:after="0" w:line="240" w:lineRule="auto"/>
              <w:jc w:val="center"/>
            </w:pPr>
            <w:r/>
            <w:r>
              <w:rPr>
                <w:rFonts w:ascii="Times New Roman" w:hAnsi="Times New Roman" w:eastAsia="Times New Roman"/>
                <w:b w:val="0"/>
                <w:i w:val="0"/>
                <w:sz w:val="16"/>
              </w:rPr>
              <w:t>1.555%</w:t>
            </w:r>
          </w:p>
        </w:tc>
      </w:tr>
      <w:tr>
        <w:tc>
          <w:tcPr>
            <w:tcW w:type="dxa" w:w="1530"/>
            <w:tcMar>
              <w:top w:w="15" w:type="dxa"/>
              <w:bottom w:w="15" w:type="dxa"/>
            </w:tcMar>
          </w:tcPr>
          <w:p>
            <w:pPr>
              <w:spacing w:before="0" w:after="0" w:line="240" w:lineRule="auto"/>
              <w:jc w:val="left"/>
            </w:pPr>
            <w:r/>
            <w:r>
              <w:rPr>
                <w:rFonts w:ascii="Times New Roman" w:hAnsi="Times New Roman" w:eastAsia="Times New Roman"/>
                <w:b w:val="0"/>
                <w:i w:val="0"/>
                <w:sz w:val="16"/>
              </w:rPr>
              <w:t>AE</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0.986 ± 0.003</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0.862 ± 0.025</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0.783 ± 0.042</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0.836 ± 0.030</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0.785 ± 0.043</w:t>
            </w:r>
          </w:p>
        </w:tc>
        <w:tc>
          <w:tcPr>
            <w:tcW w:type="dxa" w:w="984"/>
            <w:tcMar>
              <w:top w:w="15" w:type="dxa"/>
              <w:bottom w:w="15" w:type="dxa"/>
            </w:tcMar>
          </w:tcPr>
          <w:p>
            <w:pPr>
              <w:spacing w:before="0" w:after="0" w:line="240" w:lineRule="auto"/>
              <w:jc w:val="center"/>
            </w:pPr>
            <w:r/>
            <w:r>
              <w:rPr>
                <w:rFonts w:ascii="Times New Roman" w:hAnsi="Times New Roman" w:eastAsia="Times New Roman"/>
                <w:b w:val="0"/>
                <w:i w:val="0"/>
                <w:sz w:val="16"/>
              </w:rPr>
              <w:t>0.655%</w:t>
            </w:r>
          </w:p>
        </w:tc>
      </w:tr>
      <w:tr>
        <w:tc>
          <w:tcPr>
            <w:tcW w:type="dxa" w:w="1530"/>
            <w:tcMar>
              <w:top w:w="15" w:type="dxa"/>
              <w:bottom w:w="15" w:type="dxa"/>
            </w:tcMar>
          </w:tcPr>
          <w:p>
            <w:pPr>
              <w:spacing w:before="0" w:after="0" w:line="240" w:lineRule="auto"/>
              <w:jc w:val="left"/>
            </w:pPr>
            <w:r/>
            <w:r>
              <w:rPr>
                <w:rFonts w:ascii="Times New Roman" w:hAnsi="Times New Roman" w:eastAsia="Times New Roman"/>
                <w:b w:val="0"/>
                <w:i w:val="0"/>
                <w:sz w:val="16"/>
              </w:rPr>
              <w:t>ML ensemble</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0.966 ± 0.006</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0.748 ± 0.037</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0.706 ± 0.032</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0.756 ± 0.036</w:t>
            </w:r>
          </w:p>
        </w:tc>
        <w:tc>
          <w:tcPr>
            <w:tcW w:type="dxa" w:w="1311"/>
            <w:tcMar>
              <w:top w:w="15" w:type="dxa"/>
              <w:bottom w:w="15" w:type="dxa"/>
            </w:tcMar>
          </w:tcPr>
          <w:p>
            <w:pPr>
              <w:spacing w:before="0" w:after="0" w:line="240" w:lineRule="auto"/>
              <w:jc w:val="center"/>
            </w:pPr>
            <w:r/>
            <w:r>
              <w:rPr>
                <w:rFonts w:ascii="Times New Roman" w:hAnsi="Times New Roman" w:eastAsia="Times New Roman"/>
                <w:b w:val="0"/>
                <w:i w:val="0"/>
                <w:sz w:val="16"/>
              </w:rPr>
              <w:t>0.697 ± 0.034</w:t>
            </w:r>
          </w:p>
        </w:tc>
        <w:tc>
          <w:tcPr>
            <w:tcW w:type="dxa" w:w="984"/>
            <w:tcMar>
              <w:top w:w="15" w:type="dxa"/>
              <w:bottom w:w="15" w:type="dxa"/>
            </w:tcMar>
          </w:tcPr>
          <w:p>
            <w:pPr>
              <w:spacing w:before="0" w:after="0" w:line="240" w:lineRule="auto"/>
              <w:jc w:val="center"/>
            </w:pPr>
            <w:r/>
            <w:r>
              <w:rPr>
                <w:rFonts w:ascii="Times New Roman" w:hAnsi="Times New Roman" w:eastAsia="Times New Roman"/>
                <w:b w:val="0"/>
                <w:i w:val="0"/>
                <w:sz w:val="16"/>
              </w:rPr>
              <w:t>1.515%</w:t>
            </w:r>
          </w:p>
        </w:tc>
      </w:tr>
      <w:tr>
        <w:tc>
          <w:tcPr>
            <w:tcW w:type="dxa" w:w="1530"/>
            <w:tcMar>
              <w:top w:w="15" w:type="dxa"/>
              <w:bottom w:w="15" w:type="dxa"/>
            </w:tcMar>
          </w:tcPr>
          <w:p>
            <w:pPr>
              <w:spacing w:before="0" w:after="0" w:line="240" w:lineRule="auto"/>
              <w:jc w:val="left"/>
            </w:pPr>
            <w:r/>
            <w:r>
              <w:rPr>
                <w:rFonts w:ascii="Times New Roman" w:hAnsi="Times New Roman" w:eastAsia="Times New Roman"/>
                <w:b/>
                <w:i w:val="0"/>
                <w:sz w:val="16"/>
              </w:rPr>
              <w:t>Hybrid (proposed)</w:t>
            </w:r>
          </w:p>
        </w:tc>
        <w:tc>
          <w:tcPr>
            <w:tcW w:type="dxa" w:w="1311"/>
            <w:tcMar>
              <w:top w:w="15" w:type="dxa"/>
              <w:bottom w:w="15" w:type="dxa"/>
            </w:tcMar>
          </w:tcPr>
          <w:p>
            <w:pPr>
              <w:spacing w:before="0" w:after="0" w:line="240" w:lineRule="auto"/>
              <w:jc w:val="center"/>
            </w:pPr>
            <w:r/>
            <w:r>
              <w:rPr>
                <w:rFonts w:ascii="Times New Roman" w:hAnsi="Times New Roman" w:eastAsia="Times New Roman"/>
                <w:b/>
                <w:i w:val="0"/>
                <w:sz w:val="16"/>
              </w:rPr>
              <w:t>0.996 ± 0.001</w:t>
            </w:r>
          </w:p>
        </w:tc>
        <w:tc>
          <w:tcPr>
            <w:tcW w:type="dxa" w:w="1311"/>
            <w:tcMar>
              <w:top w:w="15" w:type="dxa"/>
              <w:bottom w:w="15" w:type="dxa"/>
            </w:tcMar>
          </w:tcPr>
          <w:p>
            <w:pPr>
              <w:spacing w:before="0" w:after="0" w:line="240" w:lineRule="auto"/>
              <w:jc w:val="center"/>
            </w:pPr>
            <w:r/>
            <w:r>
              <w:rPr>
                <w:rFonts w:ascii="Times New Roman" w:hAnsi="Times New Roman" w:eastAsia="Times New Roman"/>
                <w:b/>
                <w:i w:val="0"/>
                <w:sz w:val="16"/>
              </w:rPr>
              <w:t>0.973 ± 0.006</w:t>
            </w:r>
          </w:p>
        </w:tc>
        <w:tc>
          <w:tcPr>
            <w:tcW w:type="dxa" w:w="1311"/>
            <w:tcMar>
              <w:top w:w="15" w:type="dxa"/>
              <w:bottom w:w="15" w:type="dxa"/>
            </w:tcMar>
          </w:tcPr>
          <w:p>
            <w:pPr>
              <w:spacing w:before="0" w:after="0" w:line="240" w:lineRule="auto"/>
              <w:jc w:val="center"/>
            </w:pPr>
            <w:r/>
            <w:r>
              <w:rPr>
                <w:rFonts w:ascii="Times New Roman" w:hAnsi="Times New Roman" w:eastAsia="Times New Roman"/>
                <w:b/>
                <w:i w:val="0"/>
                <w:sz w:val="16"/>
              </w:rPr>
              <w:t>0.926 ± 0.009</w:t>
            </w:r>
          </w:p>
        </w:tc>
        <w:tc>
          <w:tcPr>
            <w:tcW w:type="dxa" w:w="1311"/>
            <w:tcMar>
              <w:top w:w="15" w:type="dxa"/>
              <w:bottom w:w="15" w:type="dxa"/>
            </w:tcMar>
          </w:tcPr>
          <w:p>
            <w:pPr>
              <w:spacing w:before="0" w:after="0" w:line="240" w:lineRule="auto"/>
              <w:jc w:val="center"/>
            </w:pPr>
            <w:r/>
            <w:r>
              <w:rPr>
                <w:rFonts w:ascii="Times New Roman" w:hAnsi="Times New Roman" w:eastAsia="Times New Roman"/>
                <w:b/>
                <w:i w:val="0"/>
                <w:sz w:val="16"/>
              </w:rPr>
              <w:t>0.968 ± 0.009</w:t>
            </w:r>
          </w:p>
        </w:tc>
        <w:tc>
          <w:tcPr>
            <w:tcW w:type="dxa" w:w="1311"/>
            <w:tcMar>
              <w:top w:w="15" w:type="dxa"/>
              <w:bottom w:w="15" w:type="dxa"/>
            </w:tcMar>
          </w:tcPr>
          <w:p>
            <w:pPr>
              <w:spacing w:before="0" w:after="0" w:line="240" w:lineRule="auto"/>
              <w:jc w:val="center"/>
            </w:pPr>
            <w:r/>
            <w:r>
              <w:rPr>
                <w:rFonts w:ascii="Times New Roman" w:hAnsi="Times New Roman" w:eastAsia="Times New Roman"/>
                <w:b/>
                <w:i w:val="0"/>
                <w:sz w:val="16"/>
              </w:rPr>
              <w:t>0.839 ± 0.025</w:t>
            </w:r>
          </w:p>
        </w:tc>
        <w:tc>
          <w:tcPr>
            <w:tcW w:type="dxa" w:w="984"/>
            <w:tcMar>
              <w:top w:w="15" w:type="dxa"/>
              <w:bottom w:w="15" w:type="dxa"/>
            </w:tcMar>
          </w:tcPr>
          <w:p>
            <w:pPr>
              <w:spacing w:before="0" w:after="0" w:line="240" w:lineRule="auto"/>
              <w:jc w:val="center"/>
            </w:pPr>
            <w:r/>
            <w:r>
              <w:rPr>
                <w:rFonts w:ascii="Times New Roman" w:hAnsi="Times New Roman" w:eastAsia="Times New Roman"/>
                <w:b/>
                <w:i w:val="0"/>
                <w:sz w:val="16"/>
              </w:rPr>
              <w:t>1.515%</w:t>
            </w:r>
          </w:p>
        </w:tc>
      </w:tr>
    </w:tbl>
    <w:p>
      <w:pPr>
        <w:spacing w:before="0" w:after="0" w:line="240" w:lineRule="auto"/>
        <w:jc w:val="both"/>
      </w:pPr>
    </w:p>
    <w:p>
      <w:pPr>
        <w:spacing w:before="0" w:after="0" w:line="240" w:lineRule="auto"/>
        <w:jc w:val="both"/>
      </w:pPr>
      <w:r>
        <w:rPr>
          <w:rFonts w:ascii="Times New Roman" w:hAnsi="Times New Roman" w:eastAsia="Times New Roman"/>
          <w:b w:val="0"/>
          <w:i w:val="0"/>
          <w:sz w:val="20"/>
        </w:rPr>
        <w:t>Table 5 and Figure 5 (ROC and precision–recall curves are given in the supplementary material) show that the hybrid detector is best on almost every metric: PR-AUC 0.973 ± 0.006, ROC-AUC 0.996, P@k 0.926 and Recall@5% 0.968. Rules alone have perfect precision (1.000) but capture only 0.809 of the anomalies, while the autoencoder is the best single detector (PR-AUC 0.862). Isolation Forest (PR-AUC 0.178) and LOF (0.133) are weak because the anomalies here are contextual—values that are plausible marginally but not with respect to the code or vehicle type—and are therefore hard to isolate by random partitions or local density in a mixed continuous–discrete feature space [17,18]. The Friedman test is significant (χ² = 50.0, p = 1.4 × 10</w:t>
      </w:r>
      <w:r>
        <w:rPr>
          <w:rFonts w:ascii="Times New Roman" w:hAnsi="Times New Roman" w:eastAsia="Times New Roman"/>
          <w:b w:val="0"/>
          <w:i w:val="0"/>
          <w:sz w:val="20"/>
          <w:vertAlign w:val="superscript"/>
        </w:rPr>
        <w:t>-9</w:t>
      </w:r>
      <w:r>
        <w:rPr>
          <w:rFonts w:ascii="Times New Roman" w:hAnsi="Times New Roman" w:eastAsia="Times New Roman"/>
          <w:b w:val="0"/>
          <w:i w:val="0"/>
          <w:sz w:val="20"/>
        </w:rPr>
        <w:t>), and the hybrid beats every competitor in 10 of 10 runs (Wilcoxon–Holm p = 0.0098). The hybrid F1 (0.839) is slightly below the rules (0.895) because the P99 threshold adds false positives (precision 0.742); in audit practice, budget-based metrics (P@k, Recall@5%) are more relevant.</w:t>
      </w:r>
    </w:p>
    <w:p>
      <w:pPr>
        <w:keepNext/>
        <w:spacing w:before="80" w:after="0" w:line="240" w:lineRule="auto"/>
        <w:jc w:val="center"/>
      </w:pPr>
      <w:r>
        <w:drawing>
          <wp:inline xmlns:a="http://schemas.openxmlformats.org/drawingml/2006/main" xmlns:pic="http://schemas.openxmlformats.org/drawingml/2006/picture">
            <wp:extent cx="5220000" cy="2846003"/>
            <wp:docPr id="5" name="Picture 5"/>
            <wp:cNvGraphicFramePr>
              <a:graphicFrameLocks noChangeAspect="1"/>
            </wp:cNvGraphicFramePr>
            <a:graphic>
              <a:graphicData uri="http://schemas.openxmlformats.org/drawingml/2006/picture">
                <pic:pic>
                  <pic:nvPicPr>
                    <pic:cNvPr id="0" name="F09_komparasi_metrik.png"/>
                    <pic:cNvPicPr/>
                  </pic:nvPicPr>
                  <pic:blipFill>
                    <a:blip r:embed="rId17"/>
                    <a:stretch>
                      <a:fillRect/>
                    </a:stretch>
                  </pic:blipFill>
                  <pic:spPr>
                    <a:xfrm>
                      <a:off x="0" y="0"/>
                      <a:ext cx="5220000" cy="2846003"/>
                    </a:xfrm>
                    <a:prstGeom prst="rect"/>
                  </pic:spPr>
                </pic:pic>
              </a:graphicData>
            </a:graphic>
          </wp:inline>
        </w:drawing>
      </w:r>
    </w:p>
    <w:p>
      <w:pPr>
        <w:spacing w:before="0" w:after="80" w:line="240" w:lineRule="auto"/>
        <w:jc w:val="center"/>
      </w:pPr>
      <w:r>
        <w:rPr>
          <w:rFonts w:ascii="Times New Roman" w:hAnsi="Times New Roman" w:eastAsia="Times New Roman"/>
          <w:b w:val="0"/>
          <w:i w:val="0"/>
          <w:sz w:val="18"/>
        </w:rPr>
        <w:t>Figure 5: Comparison of PR-AUC, P@k and F1 across detectors (mean ± sd, 10 runs)</w:t>
      </w:r>
    </w:p>
    <w:p>
      <w:pPr>
        <w:keepNext/>
        <w:spacing w:before="80" w:after="40" w:line="240" w:lineRule="auto"/>
        <w:jc w:val="left"/>
      </w:pPr>
      <w:r>
        <w:rPr>
          <w:rFonts w:ascii="Times New Roman" w:hAnsi="Times New Roman" w:eastAsia="Times New Roman"/>
          <w:b/>
          <w:i w:val="0"/>
          <w:sz w:val="20"/>
        </w:rPr>
        <w:t>3.3 Per-type analysis, ablation and sensitivity</w:t>
      </w:r>
    </w:p>
    <w:p>
      <w:pPr>
        <w:spacing w:before="0" w:after="0" w:line="240" w:lineRule="auto"/>
        <w:jc w:val="both"/>
      </w:pPr>
      <w:r>
        <w:rPr>
          <w:rFonts w:ascii="Times New Roman" w:hAnsi="Times New Roman" w:eastAsia="Times New Roman"/>
          <w:b w:val="0"/>
          <w:i w:val="0"/>
          <w:sz w:val="20"/>
        </w:rPr>
        <w:t>Figure 6 shows how the two layers complement each other. Rules capture A1–A5 almost perfectly but fail on A8 (implausible BBNKB; recall 0.01), which has no rule. The autoencoder captures A8 (0.99), A7 (1.00) and A6 (0.90) but is weak on swapped vehicle-type codes (A5, 0.33). The hybrid keeps both strengths: A8 rises from 0.01 (rules) to 0.83, while A1–A5 stay ≥ 0.94. This agrees with data-driven audit practice in which rules and unsupervised detection should be combined rather than opposed [21,23].</w:t>
      </w:r>
    </w:p>
    <w:p>
      <w:pPr>
        <w:keepNext/>
        <w:spacing w:before="80" w:after="0" w:line="240" w:lineRule="auto"/>
        <w:jc w:val="center"/>
      </w:pPr>
      <w:r>
        <w:drawing>
          <wp:inline xmlns:a="http://schemas.openxmlformats.org/drawingml/2006/main" xmlns:pic="http://schemas.openxmlformats.org/drawingml/2006/picture">
            <wp:extent cx="5040000" cy="2064039"/>
            <wp:docPr id="6" name="Picture 6"/>
            <wp:cNvGraphicFramePr>
              <a:graphicFrameLocks noChangeAspect="1"/>
            </wp:cNvGraphicFramePr>
            <a:graphic>
              <a:graphicData uri="http://schemas.openxmlformats.org/drawingml/2006/picture">
                <pic:pic>
                  <pic:nvPicPr>
                    <pic:cNvPr id="0" name="F08_recall_per_tipe.png"/>
                    <pic:cNvPicPr/>
                  </pic:nvPicPr>
                  <pic:blipFill>
                    <a:blip r:embed="rId18"/>
                    <a:stretch>
                      <a:fillRect/>
                    </a:stretch>
                  </pic:blipFill>
                  <pic:spPr>
                    <a:xfrm>
                      <a:off x="0" y="0"/>
                      <a:ext cx="5040000" cy="2064039"/>
                    </a:xfrm>
                    <a:prstGeom prst="rect"/>
                  </pic:spPr>
                </pic:pic>
              </a:graphicData>
            </a:graphic>
          </wp:inline>
        </w:drawing>
      </w:r>
    </w:p>
    <w:p>
      <w:pPr>
        <w:spacing w:before="0" w:after="80" w:line="240" w:lineRule="auto"/>
        <w:jc w:val="center"/>
      </w:pPr>
      <w:r>
        <w:rPr>
          <w:rFonts w:ascii="Times New Roman" w:hAnsi="Times New Roman" w:eastAsia="Times New Roman"/>
          <w:b w:val="0"/>
          <w:i w:val="0"/>
          <w:sz w:val="18"/>
        </w:rPr>
        <w:t>Figure 6: Recall@k per anomaly type and detector (mean of 10 runs)</w:t>
      </w:r>
    </w:p>
    <w:p>
      <w:pPr>
        <w:spacing w:before="0" w:after="0" w:line="240" w:lineRule="auto"/>
        <w:jc w:val="both"/>
      </w:pPr>
      <w:r>
        <w:rPr>
          <w:rFonts w:ascii="Times New Roman" w:hAnsi="Times New Roman" w:eastAsia="Times New Roman"/>
          <w:b w:val="0"/>
          <w:i w:val="0"/>
          <w:sz w:val="20"/>
        </w:rPr>
        <w:t>The ablation (Figure S1 in the supplementary material) shows that domain features raise the autoencoder PR-AUC from 0.682 to 0.872, the ensemble from 0.541 to 0.762 and the hybrid from 0.916 to 0.972; only LOF decreases (0.223 → 0.140) because extra dimensions degrade density estimation. In the sensitivity analysis, maximum-percentile fusion gives an ensemble PR-AUC of 0.789 versus 0.556 for mean fusion, because averaging dilutes the autoencoder signal with the weak IF and LOF scores. A wider AE (64–16–64) increases the AE PR-AUC to 0.952, while the hybrid PR-AUC remains stable at 0.948–0.989 across all parameter settings. Mean training time on a two-core CPU was 0.62 s (IF), 0.77 s (LOF) and 5.69 s (AE) for 40,000 transactions, and scoring 20,800 transactions took &lt; 1 s, which is feasible as a daily batch.</w:t>
      </w:r>
    </w:p>
    <w:p>
      <w:pPr>
        <w:keepNext/>
        <w:spacing w:before="80" w:after="40" w:line="240" w:lineRule="auto"/>
        <w:jc w:val="left"/>
      </w:pPr>
      <w:r>
        <w:rPr>
          <w:rFonts w:ascii="Times New Roman" w:hAnsi="Times New Roman" w:eastAsia="Times New Roman"/>
          <w:b/>
          <w:i w:val="0"/>
          <w:sz w:val="20"/>
        </w:rPr>
        <w:t>3.4 Application to real data 2021–2024</w:t>
      </w:r>
    </w:p>
    <w:p>
      <w:pPr>
        <w:keepNext/>
        <w:spacing w:before="80" w:after="0" w:line="240" w:lineRule="auto"/>
        <w:jc w:val="center"/>
      </w:pPr>
      <w:r>
        <w:rPr>
          <w:rFonts w:ascii="Times New Roman" w:hAnsi="Times New Roman" w:eastAsia="Times New Roman"/>
          <w:b w:val="0"/>
          <w:i w:val="0"/>
          <w:sz w:val="16"/>
        </w:rPr>
        <w:t>Table 6: Application of the hybrid detector to real data per year</w:t>
      </w:r>
    </w:p>
    <w:tbl>
      <w:tblPr>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W w:w="8675" w:type="dxa"/>
        <w:tblLayout w:type="fixed"/>
      </w:tblPr>
      <w:tblGrid>
        <w:gridCol w:w="680"/>
        <w:gridCol w:w="1077"/>
        <w:gridCol w:w="1134"/>
        <w:gridCol w:w="1077"/>
        <w:gridCol w:w="907"/>
        <w:gridCol w:w="1360"/>
        <w:gridCol w:w="1360"/>
        <w:gridCol w:w="1077"/>
      </w:tblGrid>
      <w:tr>
        <w:tc>
          <w:tcPr>
            <w:tcW w:type="dxa" w:w="680"/>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Year</w:t>
            </w:r>
          </w:p>
        </w:tc>
        <w:tc>
          <w:tcPr>
            <w:tcW w:type="dxa" w:w="1077"/>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Transactions</w:t>
            </w:r>
          </w:p>
        </w:tc>
        <w:tc>
          <w:tcPr>
            <w:tcW w:type="dxa" w:w="1134"/>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Rule violations</w:t>
            </w:r>
          </w:p>
        </w:tc>
        <w:tc>
          <w:tcPr>
            <w:tcW w:type="dxa" w:w="1077"/>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Rules &amp; ML</w:t>
            </w:r>
          </w:p>
        </w:tc>
        <w:tc>
          <w:tcPr>
            <w:tcW w:type="dxa" w:w="907"/>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ML only</w:t>
            </w:r>
          </w:p>
        </w:tc>
        <w:tc>
          <w:tcPr>
            <w:tcW w:type="dxa" w:w="1361"/>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Zero value (informative)</w:t>
            </w:r>
          </w:p>
        </w:tc>
        <w:tc>
          <w:tcPr>
            <w:tcW w:type="dxa" w:w="1361"/>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Hybrid audit list</w:t>
            </w:r>
          </w:p>
        </w:tc>
        <w:tc>
          <w:tcPr>
            <w:tcW w:type="dxa" w:w="1077"/>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6"/>
              </w:rPr>
              <w:t>% audit list</w:t>
            </w:r>
          </w:p>
        </w:tc>
      </w:tr>
      <w:tr>
        <w:tc>
          <w:tcPr>
            <w:tcW w:type="dxa" w:w="680"/>
            <w:tcMar>
              <w:top w:w="15" w:type="dxa"/>
              <w:bottom w:w="15" w:type="dxa"/>
            </w:tcMar>
          </w:tcPr>
          <w:p>
            <w:pPr>
              <w:spacing w:before="0" w:after="0" w:line="240" w:lineRule="auto"/>
              <w:jc w:val="left"/>
            </w:pPr>
            <w:r/>
            <w:r>
              <w:rPr>
                <w:rFonts w:ascii="Times New Roman" w:hAnsi="Times New Roman" w:eastAsia="Times New Roman"/>
                <w:b w:val="0"/>
                <w:i w:val="0"/>
                <w:sz w:val="16"/>
              </w:rPr>
              <w:t>2021</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6"/>
              </w:rPr>
              <w:t>45,689</w:t>
            </w:r>
          </w:p>
        </w:tc>
        <w:tc>
          <w:tcPr>
            <w:tcW w:type="dxa" w:w="1134"/>
            <w:tcMar>
              <w:top w:w="15" w:type="dxa"/>
              <w:bottom w:w="15" w:type="dxa"/>
            </w:tcMar>
          </w:tcPr>
          <w:p>
            <w:pPr>
              <w:spacing w:before="0" w:after="0" w:line="240" w:lineRule="auto"/>
              <w:jc w:val="center"/>
            </w:pPr>
            <w:r/>
            <w:r>
              <w:rPr>
                <w:rFonts w:ascii="Times New Roman" w:hAnsi="Times New Roman" w:eastAsia="Times New Roman"/>
                <w:b w:val="0"/>
                <w:i w:val="0"/>
                <w:sz w:val="16"/>
              </w:rPr>
              <w:t>2,131</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6"/>
              </w:rPr>
              <w:t>1,136</w:t>
            </w:r>
          </w:p>
        </w:tc>
        <w:tc>
          <w:tcPr>
            <w:tcW w:type="dxa" w:w="907"/>
            <w:tcMar>
              <w:top w:w="15" w:type="dxa"/>
              <w:bottom w:w="15" w:type="dxa"/>
            </w:tcMar>
          </w:tcPr>
          <w:p>
            <w:pPr>
              <w:spacing w:before="0" w:after="0" w:line="240" w:lineRule="auto"/>
              <w:jc w:val="center"/>
            </w:pPr>
            <w:r/>
            <w:r>
              <w:rPr>
                <w:rFonts w:ascii="Times New Roman" w:hAnsi="Times New Roman" w:eastAsia="Times New Roman"/>
                <w:b w:val="0"/>
                <w:i w:val="0"/>
                <w:sz w:val="16"/>
              </w:rPr>
              <w:t>452</w:t>
            </w:r>
          </w:p>
        </w:tc>
        <w:tc>
          <w:tcPr>
            <w:tcW w:type="dxa" w:w="1361"/>
            <w:tcMar>
              <w:top w:w="15" w:type="dxa"/>
              <w:bottom w:w="15" w:type="dxa"/>
            </w:tcMar>
          </w:tcPr>
          <w:p>
            <w:pPr>
              <w:spacing w:before="0" w:after="0" w:line="240" w:lineRule="auto"/>
              <w:jc w:val="center"/>
            </w:pPr>
            <w:r/>
            <w:r>
              <w:rPr>
                <w:rFonts w:ascii="Times New Roman" w:hAnsi="Times New Roman" w:eastAsia="Times New Roman"/>
                <w:b w:val="0"/>
                <w:i w:val="0"/>
                <w:sz w:val="16"/>
              </w:rPr>
              <w:t>1,604</w:t>
            </w:r>
          </w:p>
        </w:tc>
        <w:tc>
          <w:tcPr>
            <w:tcW w:type="dxa" w:w="1361"/>
            <w:tcMar>
              <w:top w:w="15" w:type="dxa"/>
              <w:bottom w:w="15" w:type="dxa"/>
            </w:tcMar>
          </w:tcPr>
          <w:p>
            <w:pPr>
              <w:spacing w:before="0" w:after="0" w:line="240" w:lineRule="auto"/>
              <w:jc w:val="center"/>
            </w:pPr>
            <w:r/>
            <w:r>
              <w:rPr>
                <w:rFonts w:ascii="Times New Roman" w:hAnsi="Times New Roman" w:eastAsia="Times New Roman"/>
                <w:b w:val="0"/>
                <w:i w:val="0"/>
                <w:sz w:val="16"/>
              </w:rPr>
              <w:t>2,583</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6"/>
              </w:rPr>
              <w:t>5.65</w:t>
            </w:r>
          </w:p>
        </w:tc>
      </w:tr>
      <w:tr>
        <w:tc>
          <w:tcPr>
            <w:tcW w:type="dxa" w:w="680"/>
            <w:tcMar>
              <w:top w:w="15" w:type="dxa"/>
              <w:bottom w:w="15" w:type="dxa"/>
            </w:tcMar>
          </w:tcPr>
          <w:p>
            <w:pPr>
              <w:spacing w:before="0" w:after="0" w:line="240" w:lineRule="auto"/>
              <w:jc w:val="left"/>
            </w:pPr>
            <w:r/>
            <w:r>
              <w:rPr>
                <w:rFonts w:ascii="Times New Roman" w:hAnsi="Times New Roman" w:eastAsia="Times New Roman"/>
                <w:b w:val="0"/>
                <w:i w:val="0"/>
                <w:sz w:val="16"/>
              </w:rPr>
              <w:t>2022</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6"/>
              </w:rPr>
              <w:t>43,935</w:t>
            </w:r>
          </w:p>
        </w:tc>
        <w:tc>
          <w:tcPr>
            <w:tcW w:type="dxa" w:w="1134"/>
            <w:tcMar>
              <w:top w:w="15" w:type="dxa"/>
              <w:bottom w:w="15" w:type="dxa"/>
            </w:tcMar>
          </w:tcPr>
          <w:p>
            <w:pPr>
              <w:spacing w:before="0" w:after="0" w:line="240" w:lineRule="auto"/>
              <w:jc w:val="center"/>
            </w:pPr>
            <w:r/>
            <w:r>
              <w:rPr>
                <w:rFonts w:ascii="Times New Roman" w:hAnsi="Times New Roman" w:eastAsia="Times New Roman"/>
                <w:b w:val="0"/>
                <w:i w:val="0"/>
                <w:sz w:val="16"/>
              </w:rPr>
              <w:t>2,249</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6"/>
              </w:rPr>
              <w:t>1,172</w:t>
            </w:r>
          </w:p>
        </w:tc>
        <w:tc>
          <w:tcPr>
            <w:tcW w:type="dxa" w:w="907"/>
            <w:tcMar>
              <w:top w:w="15" w:type="dxa"/>
              <w:bottom w:w="15" w:type="dxa"/>
            </w:tcMar>
          </w:tcPr>
          <w:p>
            <w:pPr>
              <w:spacing w:before="0" w:after="0" w:line="240" w:lineRule="auto"/>
              <w:jc w:val="center"/>
            </w:pPr>
            <w:r/>
            <w:r>
              <w:rPr>
                <w:rFonts w:ascii="Times New Roman" w:hAnsi="Times New Roman" w:eastAsia="Times New Roman"/>
                <w:b w:val="0"/>
                <w:i w:val="0"/>
                <w:sz w:val="16"/>
              </w:rPr>
              <w:t>400</w:t>
            </w:r>
          </w:p>
        </w:tc>
        <w:tc>
          <w:tcPr>
            <w:tcW w:type="dxa" w:w="1361"/>
            <w:tcMar>
              <w:top w:w="15" w:type="dxa"/>
              <w:bottom w:w="15" w:type="dxa"/>
            </w:tcMar>
          </w:tcPr>
          <w:p>
            <w:pPr>
              <w:spacing w:before="0" w:after="0" w:line="240" w:lineRule="auto"/>
              <w:jc w:val="center"/>
            </w:pPr>
            <w:r/>
            <w:r>
              <w:rPr>
                <w:rFonts w:ascii="Times New Roman" w:hAnsi="Times New Roman" w:eastAsia="Times New Roman"/>
                <w:b w:val="0"/>
                <w:i w:val="0"/>
                <w:sz w:val="16"/>
              </w:rPr>
              <w:t>1,665</w:t>
            </w:r>
          </w:p>
        </w:tc>
        <w:tc>
          <w:tcPr>
            <w:tcW w:type="dxa" w:w="1361"/>
            <w:tcMar>
              <w:top w:w="15" w:type="dxa"/>
              <w:bottom w:w="15" w:type="dxa"/>
            </w:tcMar>
          </w:tcPr>
          <w:p>
            <w:pPr>
              <w:spacing w:before="0" w:after="0" w:line="240" w:lineRule="auto"/>
              <w:jc w:val="center"/>
            </w:pPr>
            <w:r/>
            <w:r>
              <w:rPr>
                <w:rFonts w:ascii="Times New Roman" w:hAnsi="Times New Roman" w:eastAsia="Times New Roman"/>
                <w:b w:val="0"/>
                <w:i w:val="0"/>
                <w:sz w:val="16"/>
              </w:rPr>
              <w:t>2,649</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6"/>
              </w:rPr>
              <w:t>6.03</w:t>
            </w:r>
          </w:p>
        </w:tc>
      </w:tr>
      <w:tr>
        <w:tc>
          <w:tcPr>
            <w:tcW w:type="dxa" w:w="680"/>
            <w:tcMar>
              <w:top w:w="15" w:type="dxa"/>
              <w:bottom w:w="15" w:type="dxa"/>
            </w:tcMar>
          </w:tcPr>
          <w:p>
            <w:pPr>
              <w:spacing w:before="0" w:after="0" w:line="240" w:lineRule="auto"/>
              <w:jc w:val="left"/>
            </w:pPr>
            <w:r/>
            <w:r>
              <w:rPr>
                <w:rFonts w:ascii="Times New Roman" w:hAnsi="Times New Roman" w:eastAsia="Times New Roman"/>
                <w:b w:val="0"/>
                <w:i w:val="0"/>
                <w:sz w:val="16"/>
              </w:rPr>
              <w:t>2023</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6"/>
              </w:rPr>
              <w:t>52,309</w:t>
            </w:r>
          </w:p>
        </w:tc>
        <w:tc>
          <w:tcPr>
            <w:tcW w:type="dxa" w:w="1134"/>
            <w:tcMar>
              <w:top w:w="15" w:type="dxa"/>
              <w:bottom w:w="15" w:type="dxa"/>
            </w:tcMar>
          </w:tcPr>
          <w:p>
            <w:pPr>
              <w:spacing w:before="0" w:after="0" w:line="240" w:lineRule="auto"/>
              <w:jc w:val="center"/>
            </w:pPr>
            <w:r/>
            <w:r>
              <w:rPr>
                <w:rFonts w:ascii="Times New Roman" w:hAnsi="Times New Roman" w:eastAsia="Times New Roman"/>
                <w:b w:val="0"/>
                <w:i w:val="0"/>
                <w:sz w:val="16"/>
              </w:rPr>
              <w:t>2,450</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6"/>
              </w:rPr>
              <w:t>1,310</w:t>
            </w:r>
          </w:p>
        </w:tc>
        <w:tc>
          <w:tcPr>
            <w:tcW w:type="dxa" w:w="907"/>
            <w:tcMar>
              <w:top w:w="15" w:type="dxa"/>
              <w:bottom w:w="15" w:type="dxa"/>
            </w:tcMar>
          </w:tcPr>
          <w:p>
            <w:pPr>
              <w:spacing w:before="0" w:after="0" w:line="240" w:lineRule="auto"/>
              <w:jc w:val="center"/>
            </w:pPr>
            <w:r/>
            <w:r>
              <w:rPr>
                <w:rFonts w:ascii="Times New Roman" w:hAnsi="Times New Roman" w:eastAsia="Times New Roman"/>
                <w:b w:val="0"/>
                <w:i w:val="0"/>
                <w:sz w:val="16"/>
              </w:rPr>
              <w:t>520</w:t>
            </w:r>
          </w:p>
        </w:tc>
        <w:tc>
          <w:tcPr>
            <w:tcW w:type="dxa" w:w="1361"/>
            <w:tcMar>
              <w:top w:w="15" w:type="dxa"/>
              <w:bottom w:w="15" w:type="dxa"/>
            </w:tcMar>
          </w:tcPr>
          <w:p>
            <w:pPr>
              <w:spacing w:before="0" w:after="0" w:line="240" w:lineRule="auto"/>
              <w:jc w:val="center"/>
            </w:pPr>
            <w:r/>
            <w:r>
              <w:rPr>
                <w:rFonts w:ascii="Times New Roman" w:hAnsi="Times New Roman" w:eastAsia="Times New Roman"/>
                <w:b w:val="0"/>
                <w:i w:val="0"/>
                <w:sz w:val="16"/>
              </w:rPr>
              <w:t>1,913</w:t>
            </w:r>
          </w:p>
        </w:tc>
        <w:tc>
          <w:tcPr>
            <w:tcW w:type="dxa" w:w="1361"/>
            <w:tcMar>
              <w:top w:w="15" w:type="dxa"/>
              <w:bottom w:w="15" w:type="dxa"/>
            </w:tcMar>
          </w:tcPr>
          <w:p>
            <w:pPr>
              <w:spacing w:before="0" w:after="0" w:line="240" w:lineRule="auto"/>
              <w:jc w:val="center"/>
            </w:pPr>
            <w:r/>
            <w:r>
              <w:rPr>
                <w:rFonts w:ascii="Times New Roman" w:hAnsi="Times New Roman" w:eastAsia="Times New Roman"/>
                <w:b w:val="0"/>
                <w:i w:val="0"/>
                <w:sz w:val="16"/>
              </w:rPr>
              <w:t>2,970</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6"/>
              </w:rPr>
              <w:t>5.68</w:t>
            </w:r>
          </w:p>
        </w:tc>
      </w:tr>
      <w:tr>
        <w:tc>
          <w:tcPr>
            <w:tcW w:type="dxa" w:w="680"/>
            <w:tcMar>
              <w:top w:w="15" w:type="dxa"/>
              <w:bottom w:w="15" w:type="dxa"/>
            </w:tcMar>
          </w:tcPr>
          <w:p>
            <w:pPr>
              <w:spacing w:before="0" w:after="0" w:line="240" w:lineRule="auto"/>
              <w:jc w:val="left"/>
            </w:pPr>
            <w:r/>
            <w:r>
              <w:rPr>
                <w:rFonts w:ascii="Times New Roman" w:hAnsi="Times New Roman" w:eastAsia="Times New Roman"/>
                <w:b w:val="0"/>
                <w:i w:val="0"/>
                <w:sz w:val="16"/>
              </w:rPr>
              <w:t>2024</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6"/>
              </w:rPr>
              <w:t>51,966</w:t>
            </w:r>
          </w:p>
        </w:tc>
        <w:tc>
          <w:tcPr>
            <w:tcW w:type="dxa" w:w="1134"/>
            <w:tcMar>
              <w:top w:w="15" w:type="dxa"/>
              <w:bottom w:w="15" w:type="dxa"/>
            </w:tcMar>
          </w:tcPr>
          <w:p>
            <w:pPr>
              <w:spacing w:before="0" w:after="0" w:line="240" w:lineRule="auto"/>
              <w:jc w:val="center"/>
            </w:pPr>
            <w:r/>
            <w:r>
              <w:rPr>
                <w:rFonts w:ascii="Times New Roman" w:hAnsi="Times New Roman" w:eastAsia="Times New Roman"/>
                <w:b w:val="0"/>
                <w:i w:val="0"/>
                <w:sz w:val="16"/>
              </w:rPr>
              <w:t>3,273</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6"/>
              </w:rPr>
              <w:t>2,239</w:t>
            </w:r>
          </w:p>
        </w:tc>
        <w:tc>
          <w:tcPr>
            <w:tcW w:type="dxa" w:w="907"/>
            <w:tcMar>
              <w:top w:w="15" w:type="dxa"/>
              <w:bottom w:w="15" w:type="dxa"/>
            </w:tcMar>
          </w:tcPr>
          <w:p>
            <w:pPr>
              <w:spacing w:before="0" w:after="0" w:line="240" w:lineRule="auto"/>
              <w:jc w:val="center"/>
            </w:pPr>
            <w:r/>
            <w:r>
              <w:rPr>
                <w:rFonts w:ascii="Times New Roman" w:hAnsi="Times New Roman" w:eastAsia="Times New Roman"/>
                <w:b w:val="0"/>
                <w:i w:val="0"/>
                <w:sz w:val="16"/>
              </w:rPr>
              <w:t>696</w:t>
            </w:r>
          </w:p>
        </w:tc>
        <w:tc>
          <w:tcPr>
            <w:tcW w:type="dxa" w:w="1361"/>
            <w:tcMar>
              <w:top w:w="15" w:type="dxa"/>
              <w:bottom w:w="15" w:type="dxa"/>
            </w:tcMar>
          </w:tcPr>
          <w:p>
            <w:pPr>
              <w:spacing w:before="0" w:after="0" w:line="240" w:lineRule="auto"/>
              <w:jc w:val="center"/>
            </w:pPr>
            <w:r/>
            <w:r>
              <w:rPr>
                <w:rFonts w:ascii="Times New Roman" w:hAnsi="Times New Roman" w:eastAsia="Times New Roman"/>
                <w:b w:val="0"/>
                <w:i w:val="0"/>
                <w:sz w:val="16"/>
              </w:rPr>
              <w:t>1,241</w:t>
            </w:r>
          </w:p>
        </w:tc>
        <w:tc>
          <w:tcPr>
            <w:tcW w:type="dxa" w:w="1361"/>
            <w:tcMar>
              <w:top w:w="15" w:type="dxa"/>
              <w:bottom w:w="15" w:type="dxa"/>
            </w:tcMar>
          </w:tcPr>
          <w:p>
            <w:pPr>
              <w:spacing w:before="0" w:after="0" w:line="240" w:lineRule="auto"/>
              <w:jc w:val="center"/>
            </w:pPr>
            <w:r/>
            <w:r>
              <w:rPr>
                <w:rFonts w:ascii="Times New Roman" w:hAnsi="Times New Roman" w:eastAsia="Times New Roman"/>
                <w:b w:val="0"/>
                <w:i w:val="0"/>
                <w:sz w:val="16"/>
              </w:rPr>
              <w:t>3,969</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6"/>
              </w:rPr>
              <w:t>7.64</w:t>
            </w:r>
          </w:p>
        </w:tc>
      </w:tr>
    </w:tbl>
    <w:p>
      <w:pPr>
        <w:spacing w:before="0" w:after="0" w:line="240" w:lineRule="auto"/>
        <w:jc w:val="both"/>
      </w:pPr>
    </w:p>
    <w:p>
      <w:pPr>
        <w:spacing w:before="0" w:after="0" w:line="240" w:lineRule="auto"/>
        <w:jc w:val="both"/>
      </w:pPr>
      <w:r>
        <w:rPr>
          <w:rFonts w:ascii="Times New Roman" w:hAnsi="Times New Roman" w:eastAsia="Times New Roman"/>
          <w:b w:val="0"/>
          <w:i w:val="0"/>
          <w:sz w:val="20"/>
        </w:rPr>
        <w:t>Table 6 and Figure 7 summarise the application to 193,899 transactions. The hybrid audit list covers 5.65%, 6.03%, 5.68% and 7.64% of transactions in 2021–2024. A total of 2,068 transactions were flagged only by ML; the main reasons are per-type value z-scores close to the rule limit, penalty amounts and unusual BBNKB (Table 7). Zero-value transactions (6,423 without rule violations) were separated as an informative category because they probably represent endorsements without payment. The overlap in Figure 7 also shows that ML flags 100% of R06 and 100% of R08 transactions but only 6.8% of R09 transactions; the robust-z limit of ±3.5 is therefore stricter than the pattern learned by the model and can be recalibrated with officers.</w:t>
      </w:r>
    </w:p>
    <w:p>
      <w:pPr>
        <w:keepNext/>
        <w:spacing w:before="80" w:after="0" w:line="240" w:lineRule="auto"/>
        <w:jc w:val="center"/>
      </w:pPr>
      <w:r>
        <w:drawing>
          <wp:inline xmlns:a="http://schemas.openxmlformats.org/drawingml/2006/main" xmlns:pic="http://schemas.openxmlformats.org/drawingml/2006/picture">
            <wp:extent cx="5220000" cy="2454297"/>
            <wp:docPr id="7" name="Picture 7"/>
            <wp:cNvGraphicFramePr>
              <a:graphicFrameLocks noChangeAspect="1"/>
            </wp:cNvGraphicFramePr>
            <a:graphic>
              <a:graphicData uri="http://schemas.openxmlformats.org/drawingml/2006/picture">
                <pic:pic>
                  <pic:nvPicPr>
                    <pic:cNvPr id="0" name="F13_temuan_data_riil.png"/>
                    <pic:cNvPicPr/>
                  </pic:nvPicPr>
                  <pic:blipFill>
                    <a:blip r:embed="rId19"/>
                    <a:stretch>
                      <a:fillRect/>
                    </a:stretch>
                  </pic:blipFill>
                  <pic:spPr>
                    <a:xfrm>
                      <a:off x="0" y="0"/>
                      <a:ext cx="5220000" cy="2454297"/>
                    </a:xfrm>
                    <a:prstGeom prst="rect"/>
                  </pic:spPr>
                </pic:pic>
              </a:graphicData>
            </a:graphic>
          </wp:inline>
        </w:drawing>
      </w:r>
    </w:p>
    <w:p>
      <w:pPr>
        <w:spacing w:before="0" w:after="80" w:line="240" w:lineRule="auto"/>
        <w:jc w:val="center"/>
      </w:pPr>
      <w:r>
        <w:rPr>
          <w:rFonts w:ascii="Times New Roman" w:hAnsi="Times New Roman" w:eastAsia="Times New Roman"/>
          <w:b w:val="0"/>
          <w:i w:val="0"/>
          <w:sz w:val="18"/>
        </w:rPr>
        <w:t>Figure 7: Composition of flagged transactions per year (left) and overlap of rule violations with ML flags (right)</w:t>
      </w:r>
    </w:p>
    <w:p>
      <w:pPr>
        <w:keepNext/>
        <w:spacing w:before="80" w:after="0" w:line="240" w:lineRule="auto"/>
        <w:jc w:val="center"/>
      </w:pPr>
      <w:r>
        <w:rPr>
          <w:rFonts w:ascii="Times New Roman" w:hAnsi="Times New Roman" w:eastAsia="Times New Roman"/>
          <w:b w:val="0"/>
          <w:i w:val="0"/>
          <w:sz w:val="16"/>
        </w:rPr>
        <w:t>Table 7: Examples of audit-priority transactions with reason codes (vehicle identities pseudonymised)</w:t>
      </w:r>
    </w:p>
    <w:tbl>
      <w:tblPr>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W w:w="9072" w:type="dxa"/>
        <w:tblLayout w:type="fixed"/>
      </w:tblPr>
      <w:tblGrid>
        <w:gridCol w:w="567"/>
        <w:gridCol w:w="793"/>
        <w:gridCol w:w="567"/>
        <w:gridCol w:w="1077"/>
        <w:gridCol w:w="1077"/>
        <w:gridCol w:w="1134"/>
        <w:gridCol w:w="737"/>
        <w:gridCol w:w="3118"/>
      </w:tblGrid>
      <w:tr>
        <w:tc>
          <w:tcPr>
            <w:tcW w:type="dxa" w:w="567"/>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4"/>
              </w:rPr>
              <w:t>Year</w:t>
            </w:r>
          </w:p>
        </w:tc>
        <w:tc>
          <w:tcPr>
            <w:tcW w:type="dxa" w:w="794"/>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4"/>
              </w:rPr>
              <w:t>Appl.|mutation</w:t>
            </w:r>
          </w:p>
        </w:tc>
        <w:tc>
          <w:tcPr>
            <w:tcW w:type="dxa" w:w="567"/>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4"/>
              </w:rPr>
              <w:t>Type</w:t>
            </w:r>
          </w:p>
        </w:tc>
        <w:tc>
          <w:tcPr>
            <w:tcW w:type="dxa" w:w="1077"/>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4"/>
              </w:rPr>
              <w:t>PKB principal (Rp)</w:t>
            </w:r>
          </w:p>
        </w:tc>
        <w:tc>
          <w:tcPr>
            <w:tcW w:type="dxa" w:w="1077"/>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4"/>
              </w:rPr>
              <w:t>BBNKB (Rp)</w:t>
            </w:r>
          </w:p>
        </w:tc>
        <w:tc>
          <w:tcPr>
            <w:tcW w:type="dxa" w:w="1134"/>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4"/>
              </w:rPr>
              <w:t>Arrears (Rp)</w:t>
            </w:r>
          </w:p>
        </w:tc>
        <w:tc>
          <w:tcPr>
            <w:tcW w:type="dxa" w:w="737"/>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4"/>
              </w:rPr>
              <w:t>Rules</w:t>
            </w:r>
          </w:p>
        </w:tc>
        <w:tc>
          <w:tcPr>
            <w:tcW w:type="dxa" w:w="3118"/>
            <w:tcBorders>
              <w:bottom w:val="single" w:sz="6"/>
            </w:tcBorders>
            <w:tcMar>
              <w:top w:w="15" w:type="dxa"/>
              <w:bottom w:w="15" w:type="dxa"/>
            </w:tcMar>
          </w:tcPr>
          <w:p>
            <w:pPr>
              <w:spacing w:before="0" w:after="0" w:line="240" w:lineRule="auto"/>
              <w:jc w:val="center"/>
            </w:pPr>
            <w:r/>
            <w:r>
              <w:rPr>
                <w:rFonts w:ascii="Times New Roman" w:hAnsi="Times New Roman" w:eastAsia="Times New Roman"/>
                <w:b/>
                <w:i w:val="0"/>
                <w:sz w:val="14"/>
              </w:rPr>
              <w:t>AE reasons (top 3)</w:t>
            </w:r>
          </w:p>
        </w:tc>
      </w:tr>
      <w:tr>
        <w:tc>
          <w:tcPr>
            <w:tcW w:type="dxa" w:w="567"/>
            <w:tcMar>
              <w:top w:w="15" w:type="dxa"/>
              <w:bottom w:w="15" w:type="dxa"/>
            </w:tcMar>
          </w:tcPr>
          <w:p>
            <w:pPr>
              <w:spacing w:before="0" w:after="0" w:line="240" w:lineRule="auto"/>
              <w:jc w:val="left"/>
            </w:pPr>
            <w:r/>
            <w:r>
              <w:rPr>
                <w:rFonts w:ascii="Times New Roman" w:hAnsi="Times New Roman" w:eastAsia="Times New Roman"/>
                <w:b w:val="0"/>
                <w:i w:val="0"/>
                <w:sz w:val="14"/>
              </w:rPr>
              <w:t>2024</w:t>
            </w:r>
          </w:p>
        </w:tc>
        <w:tc>
          <w:tcPr>
            <w:tcW w:type="dxa" w:w="794"/>
            <w:tcMar>
              <w:top w:w="15" w:type="dxa"/>
              <w:bottom w:w="15" w:type="dxa"/>
            </w:tcMar>
          </w:tcPr>
          <w:p>
            <w:pPr>
              <w:spacing w:before="0" w:after="0" w:line="240" w:lineRule="auto"/>
              <w:jc w:val="center"/>
            </w:pPr>
            <w:r/>
            <w:r>
              <w:rPr>
                <w:rFonts w:ascii="Times New Roman" w:hAnsi="Times New Roman" w:eastAsia="Times New Roman"/>
                <w:b w:val="0"/>
                <w:i w:val="0"/>
                <w:sz w:val="14"/>
              </w:rPr>
              <w:t>2|4</w:t>
            </w:r>
          </w:p>
        </w:tc>
        <w:tc>
          <w:tcPr>
            <w:tcW w:type="dxa" w:w="567"/>
            <w:tcMar>
              <w:top w:w="15" w:type="dxa"/>
              <w:bottom w:w="15" w:type="dxa"/>
            </w:tcMar>
          </w:tcPr>
          <w:p>
            <w:pPr>
              <w:spacing w:before="0" w:after="0" w:line="240" w:lineRule="auto"/>
              <w:jc w:val="center"/>
            </w:pPr>
            <w:r/>
            <w:r>
              <w:rPr>
                <w:rFonts w:ascii="Times New Roman" w:hAnsi="Times New Roman" w:eastAsia="Times New Roman"/>
                <w:b w:val="0"/>
                <w:i w:val="0"/>
                <w:sz w:val="14"/>
              </w:rPr>
              <w:t>702</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4"/>
              </w:rPr>
              <w:t>0</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4"/>
              </w:rPr>
              <w:t>0</w:t>
            </w:r>
          </w:p>
        </w:tc>
        <w:tc>
          <w:tcPr>
            <w:tcW w:type="dxa" w:w="1134"/>
            <w:tcMar>
              <w:top w:w="15" w:type="dxa"/>
              <w:bottom w:w="15" w:type="dxa"/>
            </w:tcMar>
          </w:tcPr>
          <w:p>
            <w:pPr>
              <w:spacing w:before="0" w:after="0" w:line="240" w:lineRule="auto"/>
              <w:jc w:val="center"/>
            </w:pPr>
            <w:r/>
            <w:r>
              <w:rPr>
                <w:rFonts w:ascii="Times New Roman" w:hAnsi="Times New Roman" w:eastAsia="Times New Roman"/>
                <w:b w:val="0"/>
                <w:i w:val="0"/>
                <w:sz w:val="14"/>
              </w:rPr>
              <w:t>854,100</w:t>
            </w:r>
          </w:p>
        </w:tc>
        <w:tc>
          <w:tcPr>
            <w:tcW w:type="dxa" w:w="737"/>
            <w:tcMar>
              <w:top w:w="15" w:type="dxa"/>
              <w:bottom w:w="15" w:type="dxa"/>
            </w:tcMar>
          </w:tcPr>
          <w:p>
            <w:pPr>
              <w:spacing w:before="0" w:after="0" w:line="240" w:lineRule="auto"/>
              <w:jc w:val="center"/>
            </w:pPr>
            <w:r/>
            <w:r>
              <w:rPr>
                <w:rFonts w:ascii="Times New Roman" w:hAnsi="Times New Roman" w:eastAsia="Times New Roman"/>
                <w:b w:val="0"/>
                <w:i w:val="0"/>
                <w:sz w:val="14"/>
              </w:rPr>
              <w:t>R06,R08</w:t>
            </w:r>
          </w:p>
        </w:tc>
        <w:tc>
          <w:tcPr>
            <w:tcW w:type="dxa" w:w="3118"/>
            <w:tcMar>
              <w:top w:w="15" w:type="dxa"/>
              <w:bottom w:w="15" w:type="dxa"/>
            </w:tcMar>
          </w:tcPr>
          <w:p>
            <w:pPr>
              <w:spacing w:before="0" w:after="0" w:line="240" w:lineRule="auto"/>
              <w:jc w:val="left"/>
            </w:pPr>
            <w:r/>
            <w:r>
              <w:rPr>
                <w:rFonts w:ascii="Times New Roman" w:hAnsi="Times New Roman" w:eastAsia="Times New Roman"/>
                <w:b w:val="0"/>
                <w:i w:val="0"/>
                <w:sz w:val="14"/>
              </w:rPr>
              <w:t>freq kd jenis kb, z jenis, log pkbpok</w:t>
            </w:r>
          </w:p>
        </w:tc>
      </w:tr>
      <w:tr>
        <w:tc>
          <w:tcPr>
            <w:tcW w:type="dxa" w:w="567"/>
            <w:tcMar>
              <w:top w:w="15" w:type="dxa"/>
              <w:bottom w:w="15" w:type="dxa"/>
            </w:tcMar>
          </w:tcPr>
          <w:p>
            <w:pPr>
              <w:spacing w:before="0" w:after="0" w:line="240" w:lineRule="auto"/>
              <w:jc w:val="left"/>
            </w:pPr>
            <w:r/>
            <w:r>
              <w:rPr>
                <w:rFonts w:ascii="Times New Roman" w:hAnsi="Times New Roman" w:eastAsia="Times New Roman"/>
                <w:b w:val="0"/>
                <w:i w:val="0"/>
                <w:sz w:val="14"/>
              </w:rPr>
              <w:t>2024</w:t>
            </w:r>
          </w:p>
        </w:tc>
        <w:tc>
          <w:tcPr>
            <w:tcW w:type="dxa" w:w="794"/>
            <w:tcMar>
              <w:top w:w="15" w:type="dxa"/>
              <w:bottom w:w="15" w:type="dxa"/>
            </w:tcMar>
          </w:tcPr>
          <w:p>
            <w:pPr>
              <w:spacing w:before="0" w:after="0" w:line="240" w:lineRule="auto"/>
              <w:jc w:val="center"/>
            </w:pPr>
            <w:r/>
            <w:r>
              <w:rPr>
                <w:rFonts w:ascii="Times New Roman" w:hAnsi="Times New Roman" w:eastAsia="Times New Roman"/>
                <w:b w:val="0"/>
                <w:i w:val="0"/>
                <w:sz w:val="14"/>
              </w:rPr>
              <w:t>2|4</w:t>
            </w:r>
          </w:p>
        </w:tc>
        <w:tc>
          <w:tcPr>
            <w:tcW w:type="dxa" w:w="567"/>
            <w:tcMar>
              <w:top w:w="15" w:type="dxa"/>
              <w:bottom w:w="15" w:type="dxa"/>
            </w:tcMar>
          </w:tcPr>
          <w:p>
            <w:pPr>
              <w:spacing w:before="0" w:after="0" w:line="240" w:lineRule="auto"/>
              <w:jc w:val="center"/>
            </w:pPr>
            <w:r/>
            <w:r>
              <w:rPr>
                <w:rFonts w:ascii="Times New Roman" w:hAnsi="Times New Roman" w:eastAsia="Times New Roman"/>
                <w:b w:val="0"/>
                <w:i w:val="0"/>
                <w:sz w:val="14"/>
              </w:rPr>
              <w:t>401</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4"/>
              </w:rPr>
              <w:t>0</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4"/>
              </w:rPr>
              <w:t>0</w:t>
            </w:r>
          </w:p>
        </w:tc>
        <w:tc>
          <w:tcPr>
            <w:tcW w:type="dxa" w:w="1134"/>
            <w:tcMar>
              <w:top w:w="15" w:type="dxa"/>
              <w:bottom w:w="15" w:type="dxa"/>
            </w:tcMar>
          </w:tcPr>
          <w:p>
            <w:pPr>
              <w:spacing w:before="0" w:after="0" w:line="240" w:lineRule="auto"/>
              <w:jc w:val="center"/>
            </w:pPr>
            <w:r/>
            <w:r>
              <w:rPr>
                <w:rFonts w:ascii="Times New Roman" w:hAnsi="Times New Roman" w:eastAsia="Times New Roman"/>
                <w:b w:val="0"/>
                <w:i w:val="0"/>
                <w:sz w:val="14"/>
              </w:rPr>
              <w:t>7,856,300</w:t>
            </w:r>
          </w:p>
        </w:tc>
        <w:tc>
          <w:tcPr>
            <w:tcW w:type="dxa" w:w="737"/>
            <w:tcMar>
              <w:top w:w="15" w:type="dxa"/>
              <w:bottom w:w="15" w:type="dxa"/>
            </w:tcMar>
          </w:tcPr>
          <w:p>
            <w:pPr>
              <w:spacing w:before="0" w:after="0" w:line="240" w:lineRule="auto"/>
              <w:jc w:val="center"/>
            </w:pPr>
            <w:r/>
            <w:r>
              <w:rPr>
                <w:rFonts w:ascii="Times New Roman" w:hAnsi="Times New Roman" w:eastAsia="Times New Roman"/>
                <w:b w:val="0"/>
                <w:i w:val="0"/>
                <w:sz w:val="14"/>
              </w:rPr>
              <w:t>R06,R08</w:t>
            </w:r>
          </w:p>
        </w:tc>
        <w:tc>
          <w:tcPr>
            <w:tcW w:type="dxa" w:w="3118"/>
            <w:tcMar>
              <w:top w:w="15" w:type="dxa"/>
              <w:bottom w:w="15" w:type="dxa"/>
            </w:tcMar>
          </w:tcPr>
          <w:p>
            <w:pPr>
              <w:spacing w:before="0" w:after="0" w:line="240" w:lineRule="auto"/>
              <w:jc w:val="left"/>
            </w:pPr>
            <w:r/>
            <w:r>
              <w:rPr>
                <w:rFonts w:ascii="Times New Roman" w:hAnsi="Times New Roman" w:eastAsia="Times New Roman"/>
                <w:b w:val="0"/>
                <w:i w:val="0"/>
                <w:sz w:val="14"/>
              </w:rPr>
              <w:t>z jenis, bbn x pair, log pkbpok</w:t>
            </w:r>
          </w:p>
        </w:tc>
      </w:tr>
      <w:tr>
        <w:tc>
          <w:tcPr>
            <w:tcW w:type="dxa" w:w="567"/>
            <w:tcMar>
              <w:top w:w="15" w:type="dxa"/>
              <w:bottom w:w="15" w:type="dxa"/>
            </w:tcMar>
          </w:tcPr>
          <w:p>
            <w:pPr>
              <w:spacing w:before="0" w:after="0" w:line="240" w:lineRule="auto"/>
              <w:jc w:val="left"/>
            </w:pPr>
            <w:r/>
            <w:r>
              <w:rPr>
                <w:rFonts w:ascii="Times New Roman" w:hAnsi="Times New Roman" w:eastAsia="Times New Roman"/>
                <w:b w:val="0"/>
                <w:i w:val="0"/>
                <w:sz w:val="14"/>
              </w:rPr>
              <w:t>2024</w:t>
            </w:r>
          </w:p>
        </w:tc>
        <w:tc>
          <w:tcPr>
            <w:tcW w:type="dxa" w:w="794"/>
            <w:tcMar>
              <w:top w:w="15" w:type="dxa"/>
              <w:bottom w:w="15" w:type="dxa"/>
            </w:tcMar>
          </w:tcPr>
          <w:p>
            <w:pPr>
              <w:spacing w:before="0" w:after="0" w:line="240" w:lineRule="auto"/>
              <w:jc w:val="center"/>
            </w:pPr>
            <w:r/>
            <w:r>
              <w:rPr>
                <w:rFonts w:ascii="Times New Roman" w:hAnsi="Times New Roman" w:eastAsia="Times New Roman"/>
                <w:b w:val="0"/>
                <w:i w:val="0"/>
                <w:sz w:val="14"/>
              </w:rPr>
              <w:t>4|1</w:t>
            </w:r>
          </w:p>
        </w:tc>
        <w:tc>
          <w:tcPr>
            <w:tcW w:type="dxa" w:w="567"/>
            <w:tcMar>
              <w:top w:w="15" w:type="dxa"/>
              <w:bottom w:w="15" w:type="dxa"/>
            </w:tcMar>
          </w:tcPr>
          <w:p>
            <w:pPr>
              <w:spacing w:before="0" w:after="0" w:line="240" w:lineRule="auto"/>
              <w:jc w:val="center"/>
            </w:pPr>
            <w:r/>
            <w:r>
              <w:rPr>
                <w:rFonts w:ascii="Times New Roman" w:hAnsi="Times New Roman" w:eastAsia="Times New Roman"/>
                <w:b w:val="0"/>
                <w:i w:val="0"/>
                <w:sz w:val="14"/>
              </w:rPr>
              <w:t>201</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4"/>
              </w:rPr>
              <w:t>874,500</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4"/>
              </w:rPr>
              <w:t>795,000</w:t>
            </w:r>
          </w:p>
        </w:tc>
        <w:tc>
          <w:tcPr>
            <w:tcW w:type="dxa" w:w="1134"/>
            <w:tcMar>
              <w:top w:w="15" w:type="dxa"/>
              <w:bottom w:w="15" w:type="dxa"/>
            </w:tcMar>
          </w:tcPr>
          <w:p>
            <w:pPr>
              <w:spacing w:before="0" w:after="0" w:line="240" w:lineRule="auto"/>
              <w:jc w:val="center"/>
            </w:pPr>
            <w:r/>
            <w:r>
              <w:rPr>
                <w:rFonts w:ascii="Times New Roman" w:hAnsi="Times New Roman" w:eastAsia="Times New Roman"/>
                <w:b w:val="0"/>
                <w:i w:val="0"/>
                <w:sz w:val="14"/>
              </w:rPr>
              <w:t>0</w:t>
            </w:r>
          </w:p>
        </w:tc>
        <w:tc>
          <w:tcPr>
            <w:tcW w:type="dxa" w:w="737"/>
            <w:tcMar>
              <w:top w:w="15" w:type="dxa"/>
              <w:bottom w:w="15" w:type="dxa"/>
            </w:tcMar>
          </w:tcPr>
          <w:p>
            <w:pPr>
              <w:spacing w:before="0" w:after="0" w:line="240" w:lineRule="auto"/>
              <w:jc w:val="center"/>
            </w:pPr>
            <w:r/>
            <w:r>
              <w:rPr>
                <w:rFonts w:ascii="Times New Roman" w:hAnsi="Times New Roman" w:eastAsia="Times New Roman"/>
                <w:b w:val="0"/>
                <w:i w:val="0"/>
                <w:sz w:val="14"/>
              </w:rPr>
              <w:t>-</w:t>
            </w:r>
          </w:p>
        </w:tc>
        <w:tc>
          <w:tcPr>
            <w:tcW w:type="dxa" w:w="3118"/>
            <w:tcMar>
              <w:top w:w="15" w:type="dxa"/>
              <w:bottom w:w="15" w:type="dxa"/>
            </w:tcMar>
          </w:tcPr>
          <w:p>
            <w:pPr>
              <w:spacing w:before="0" w:after="0" w:line="240" w:lineRule="auto"/>
              <w:jc w:val="left"/>
            </w:pPr>
            <w:r/>
            <w:r>
              <w:rPr>
                <w:rFonts w:ascii="Times New Roman" w:hAnsi="Times New Roman" w:eastAsia="Times New Roman"/>
                <w:b w:val="0"/>
                <w:i w:val="0"/>
                <w:sz w:val="14"/>
              </w:rPr>
              <w:t>freq kd jenis kb, bbn x pair, z jenis</w:t>
            </w:r>
          </w:p>
        </w:tc>
      </w:tr>
      <w:tr>
        <w:tc>
          <w:tcPr>
            <w:tcW w:type="dxa" w:w="567"/>
            <w:tcMar>
              <w:top w:w="15" w:type="dxa"/>
              <w:bottom w:w="15" w:type="dxa"/>
            </w:tcMar>
          </w:tcPr>
          <w:p>
            <w:pPr>
              <w:spacing w:before="0" w:after="0" w:line="240" w:lineRule="auto"/>
              <w:jc w:val="left"/>
            </w:pPr>
            <w:r/>
            <w:r>
              <w:rPr>
                <w:rFonts w:ascii="Times New Roman" w:hAnsi="Times New Roman" w:eastAsia="Times New Roman"/>
                <w:b w:val="0"/>
                <w:i w:val="0"/>
                <w:sz w:val="14"/>
              </w:rPr>
              <w:t>2021</w:t>
            </w:r>
          </w:p>
        </w:tc>
        <w:tc>
          <w:tcPr>
            <w:tcW w:type="dxa" w:w="794"/>
            <w:tcMar>
              <w:top w:w="15" w:type="dxa"/>
              <w:bottom w:w="15" w:type="dxa"/>
            </w:tcMar>
          </w:tcPr>
          <w:p>
            <w:pPr>
              <w:spacing w:before="0" w:after="0" w:line="240" w:lineRule="auto"/>
              <w:jc w:val="center"/>
            </w:pPr>
            <w:r/>
            <w:r>
              <w:rPr>
                <w:rFonts w:ascii="Times New Roman" w:hAnsi="Times New Roman" w:eastAsia="Times New Roman"/>
                <w:b w:val="0"/>
                <w:i w:val="0"/>
                <w:sz w:val="14"/>
              </w:rPr>
              <w:t>2|4</w:t>
            </w:r>
          </w:p>
        </w:tc>
        <w:tc>
          <w:tcPr>
            <w:tcW w:type="dxa" w:w="567"/>
            <w:tcMar>
              <w:top w:w="15" w:type="dxa"/>
              <w:bottom w:w="15" w:type="dxa"/>
            </w:tcMar>
          </w:tcPr>
          <w:p>
            <w:pPr>
              <w:spacing w:before="0" w:after="0" w:line="240" w:lineRule="auto"/>
              <w:jc w:val="center"/>
            </w:pPr>
            <w:r/>
            <w:r>
              <w:rPr>
                <w:rFonts w:ascii="Times New Roman" w:hAnsi="Times New Roman" w:eastAsia="Times New Roman"/>
                <w:b w:val="0"/>
                <w:i w:val="0"/>
                <w:sz w:val="14"/>
              </w:rPr>
              <w:t>301</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4"/>
              </w:rPr>
              <w:t>436,700</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4"/>
              </w:rPr>
              <w:t>230,000</w:t>
            </w:r>
          </w:p>
        </w:tc>
        <w:tc>
          <w:tcPr>
            <w:tcW w:type="dxa" w:w="1134"/>
            <w:tcMar>
              <w:top w:w="15" w:type="dxa"/>
              <w:bottom w:w="15" w:type="dxa"/>
            </w:tcMar>
          </w:tcPr>
          <w:p>
            <w:pPr>
              <w:spacing w:before="0" w:after="0" w:line="240" w:lineRule="auto"/>
              <w:jc w:val="center"/>
            </w:pPr>
            <w:r/>
            <w:r>
              <w:rPr>
                <w:rFonts w:ascii="Times New Roman" w:hAnsi="Times New Roman" w:eastAsia="Times New Roman"/>
                <w:b w:val="0"/>
                <w:i w:val="0"/>
                <w:sz w:val="14"/>
              </w:rPr>
              <w:t>2,255,100</w:t>
            </w:r>
          </w:p>
        </w:tc>
        <w:tc>
          <w:tcPr>
            <w:tcW w:type="dxa" w:w="737"/>
            <w:tcMar>
              <w:top w:w="15" w:type="dxa"/>
              <w:bottom w:w="15" w:type="dxa"/>
            </w:tcMar>
          </w:tcPr>
          <w:p>
            <w:pPr>
              <w:spacing w:before="0" w:after="0" w:line="240" w:lineRule="auto"/>
              <w:jc w:val="center"/>
            </w:pPr>
            <w:r/>
            <w:r>
              <w:rPr>
                <w:rFonts w:ascii="Times New Roman" w:hAnsi="Times New Roman" w:eastAsia="Times New Roman"/>
                <w:b w:val="0"/>
                <w:i w:val="0"/>
                <w:sz w:val="14"/>
              </w:rPr>
              <w:t>-</w:t>
            </w:r>
          </w:p>
        </w:tc>
        <w:tc>
          <w:tcPr>
            <w:tcW w:type="dxa" w:w="3118"/>
            <w:tcMar>
              <w:top w:w="15" w:type="dxa"/>
              <w:bottom w:w="15" w:type="dxa"/>
            </w:tcMar>
          </w:tcPr>
          <w:p>
            <w:pPr>
              <w:spacing w:before="0" w:after="0" w:line="240" w:lineRule="auto"/>
              <w:jc w:val="left"/>
            </w:pPr>
            <w:r/>
            <w:r>
              <w:rPr>
                <w:rFonts w:ascii="Times New Roman" w:hAnsi="Times New Roman" w:eastAsia="Times New Roman"/>
                <w:b w:val="0"/>
                <w:i w:val="0"/>
                <w:sz w:val="14"/>
              </w:rPr>
              <w:t>freq kd jenis kb, z jenis, log pkbpok</w:t>
            </w:r>
          </w:p>
        </w:tc>
      </w:tr>
      <w:tr>
        <w:tc>
          <w:tcPr>
            <w:tcW w:type="dxa" w:w="567"/>
            <w:tcMar>
              <w:top w:w="15" w:type="dxa"/>
              <w:bottom w:w="15" w:type="dxa"/>
            </w:tcMar>
          </w:tcPr>
          <w:p>
            <w:pPr>
              <w:spacing w:before="0" w:after="0" w:line="240" w:lineRule="auto"/>
              <w:jc w:val="left"/>
            </w:pPr>
            <w:r/>
            <w:r>
              <w:rPr>
                <w:rFonts w:ascii="Times New Roman" w:hAnsi="Times New Roman" w:eastAsia="Times New Roman"/>
                <w:b w:val="0"/>
                <w:i w:val="0"/>
                <w:sz w:val="14"/>
              </w:rPr>
              <w:t>2023</w:t>
            </w:r>
          </w:p>
        </w:tc>
        <w:tc>
          <w:tcPr>
            <w:tcW w:type="dxa" w:w="794"/>
            <w:tcMar>
              <w:top w:w="15" w:type="dxa"/>
              <w:bottom w:w="15" w:type="dxa"/>
            </w:tcMar>
          </w:tcPr>
          <w:p>
            <w:pPr>
              <w:spacing w:before="0" w:after="0" w:line="240" w:lineRule="auto"/>
              <w:jc w:val="center"/>
            </w:pPr>
            <w:r/>
            <w:r>
              <w:rPr>
                <w:rFonts w:ascii="Times New Roman" w:hAnsi="Times New Roman" w:eastAsia="Times New Roman"/>
                <w:b w:val="0"/>
                <w:i w:val="0"/>
                <w:sz w:val="14"/>
              </w:rPr>
              <w:t>3|NA</w:t>
            </w:r>
          </w:p>
        </w:tc>
        <w:tc>
          <w:tcPr>
            <w:tcW w:type="dxa" w:w="567"/>
            <w:tcMar>
              <w:top w:w="15" w:type="dxa"/>
              <w:bottom w:w="15" w:type="dxa"/>
            </w:tcMar>
          </w:tcPr>
          <w:p>
            <w:pPr>
              <w:spacing w:before="0" w:after="0" w:line="240" w:lineRule="auto"/>
              <w:jc w:val="center"/>
            </w:pPr>
            <w:r/>
            <w:r>
              <w:rPr>
                <w:rFonts w:ascii="Times New Roman" w:hAnsi="Times New Roman" w:eastAsia="Times New Roman"/>
                <w:b w:val="0"/>
                <w:i w:val="0"/>
                <w:sz w:val="14"/>
              </w:rPr>
              <w:t>582</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4"/>
              </w:rPr>
              <w:t>2,788,800</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4"/>
              </w:rPr>
              <w:t>24,900,000</w:t>
            </w:r>
          </w:p>
        </w:tc>
        <w:tc>
          <w:tcPr>
            <w:tcW w:type="dxa" w:w="1134"/>
            <w:tcMar>
              <w:top w:w="15" w:type="dxa"/>
              <w:bottom w:w="15" w:type="dxa"/>
            </w:tcMar>
          </w:tcPr>
          <w:p>
            <w:pPr>
              <w:spacing w:before="0" w:after="0" w:line="240" w:lineRule="auto"/>
              <w:jc w:val="center"/>
            </w:pPr>
            <w:r/>
            <w:r>
              <w:rPr>
                <w:rFonts w:ascii="Times New Roman" w:hAnsi="Times New Roman" w:eastAsia="Times New Roman"/>
                <w:b w:val="0"/>
                <w:i w:val="0"/>
                <w:sz w:val="14"/>
              </w:rPr>
              <w:t>0</w:t>
            </w:r>
          </w:p>
        </w:tc>
        <w:tc>
          <w:tcPr>
            <w:tcW w:type="dxa" w:w="737"/>
            <w:tcMar>
              <w:top w:w="15" w:type="dxa"/>
              <w:bottom w:w="15" w:type="dxa"/>
            </w:tcMar>
          </w:tcPr>
          <w:p>
            <w:pPr>
              <w:spacing w:before="0" w:after="0" w:line="240" w:lineRule="auto"/>
              <w:jc w:val="center"/>
            </w:pPr>
            <w:r/>
            <w:r>
              <w:rPr>
                <w:rFonts w:ascii="Times New Roman" w:hAnsi="Times New Roman" w:eastAsia="Times New Roman"/>
                <w:b w:val="0"/>
                <w:i w:val="0"/>
                <w:sz w:val="14"/>
              </w:rPr>
              <w:t>-</w:t>
            </w:r>
          </w:p>
        </w:tc>
        <w:tc>
          <w:tcPr>
            <w:tcW w:type="dxa" w:w="3118"/>
            <w:tcMar>
              <w:top w:w="15" w:type="dxa"/>
              <w:bottom w:w="15" w:type="dxa"/>
            </w:tcMar>
          </w:tcPr>
          <w:p>
            <w:pPr>
              <w:spacing w:before="0" w:after="0" w:line="240" w:lineRule="auto"/>
              <w:jc w:val="left"/>
            </w:pPr>
            <w:r/>
            <w:r>
              <w:rPr>
                <w:rFonts w:ascii="Times New Roman" w:hAnsi="Times New Roman" w:eastAsia="Times New Roman"/>
                <w:b w:val="0"/>
                <w:i w:val="0"/>
                <w:sz w:val="14"/>
              </w:rPr>
              <w:t>freq kd jenis kb, bbn x pair, log bbnden</w:t>
            </w:r>
          </w:p>
        </w:tc>
      </w:tr>
      <w:tr>
        <w:tc>
          <w:tcPr>
            <w:tcW w:type="dxa" w:w="567"/>
            <w:tcMar>
              <w:top w:w="15" w:type="dxa"/>
              <w:bottom w:w="15" w:type="dxa"/>
            </w:tcMar>
          </w:tcPr>
          <w:p>
            <w:pPr>
              <w:spacing w:before="0" w:after="0" w:line="240" w:lineRule="auto"/>
              <w:jc w:val="left"/>
            </w:pPr>
            <w:r/>
            <w:r>
              <w:rPr>
                <w:rFonts w:ascii="Times New Roman" w:hAnsi="Times New Roman" w:eastAsia="Times New Roman"/>
                <w:b w:val="0"/>
                <w:i w:val="0"/>
                <w:sz w:val="14"/>
              </w:rPr>
              <w:t>2021</w:t>
            </w:r>
          </w:p>
        </w:tc>
        <w:tc>
          <w:tcPr>
            <w:tcW w:type="dxa" w:w="794"/>
            <w:tcMar>
              <w:top w:w="15" w:type="dxa"/>
              <w:bottom w:w="15" w:type="dxa"/>
            </w:tcMar>
          </w:tcPr>
          <w:p>
            <w:pPr>
              <w:spacing w:before="0" w:after="0" w:line="240" w:lineRule="auto"/>
              <w:jc w:val="center"/>
            </w:pPr>
            <w:r/>
            <w:r>
              <w:rPr>
                <w:rFonts w:ascii="Times New Roman" w:hAnsi="Times New Roman" w:eastAsia="Times New Roman"/>
                <w:b w:val="0"/>
                <w:i w:val="0"/>
                <w:sz w:val="14"/>
              </w:rPr>
              <w:t>2|4</w:t>
            </w:r>
          </w:p>
        </w:tc>
        <w:tc>
          <w:tcPr>
            <w:tcW w:type="dxa" w:w="567"/>
            <w:tcMar>
              <w:top w:w="15" w:type="dxa"/>
              <w:bottom w:w="15" w:type="dxa"/>
            </w:tcMar>
          </w:tcPr>
          <w:p>
            <w:pPr>
              <w:spacing w:before="0" w:after="0" w:line="240" w:lineRule="auto"/>
              <w:jc w:val="center"/>
            </w:pPr>
            <w:r/>
            <w:r>
              <w:rPr>
                <w:rFonts w:ascii="Times New Roman" w:hAnsi="Times New Roman" w:eastAsia="Times New Roman"/>
                <w:b w:val="0"/>
                <w:i w:val="0"/>
                <w:sz w:val="14"/>
              </w:rPr>
              <w:t>101</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4"/>
              </w:rPr>
              <w:t>5,345,400</w:t>
            </w:r>
          </w:p>
        </w:tc>
        <w:tc>
          <w:tcPr>
            <w:tcW w:type="dxa" w:w="1077"/>
            <w:tcMar>
              <w:top w:w="15" w:type="dxa"/>
              <w:bottom w:w="15" w:type="dxa"/>
            </w:tcMar>
          </w:tcPr>
          <w:p>
            <w:pPr>
              <w:spacing w:before="0" w:after="0" w:line="240" w:lineRule="auto"/>
              <w:jc w:val="center"/>
            </w:pPr>
            <w:r/>
            <w:r>
              <w:rPr>
                <w:rFonts w:ascii="Times New Roman" w:hAnsi="Times New Roman" w:eastAsia="Times New Roman"/>
                <w:b w:val="0"/>
                <w:i w:val="0"/>
                <w:sz w:val="14"/>
              </w:rPr>
              <w:t>2,980,000</w:t>
            </w:r>
          </w:p>
        </w:tc>
        <w:tc>
          <w:tcPr>
            <w:tcW w:type="dxa" w:w="1134"/>
            <w:tcMar>
              <w:top w:w="15" w:type="dxa"/>
              <w:bottom w:w="15" w:type="dxa"/>
            </w:tcMar>
          </w:tcPr>
          <w:p>
            <w:pPr>
              <w:spacing w:before="0" w:after="0" w:line="240" w:lineRule="auto"/>
              <w:jc w:val="center"/>
            </w:pPr>
            <w:r/>
            <w:r>
              <w:rPr>
                <w:rFonts w:ascii="Times New Roman" w:hAnsi="Times New Roman" w:eastAsia="Times New Roman"/>
                <w:b w:val="0"/>
                <w:i w:val="0"/>
                <w:sz w:val="14"/>
              </w:rPr>
              <w:t>32,682,000</w:t>
            </w:r>
          </w:p>
        </w:tc>
        <w:tc>
          <w:tcPr>
            <w:tcW w:type="dxa" w:w="737"/>
            <w:tcMar>
              <w:top w:w="15" w:type="dxa"/>
              <w:bottom w:w="15" w:type="dxa"/>
            </w:tcMar>
          </w:tcPr>
          <w:p>
            <w:pPr>
              <w:spacing w:before="0" w:after="0" w:line="240" w:lineRule="auto"/>
              <w:jc w:val="center"/>
            </w:pPr>
            <w:r/>
            <w:r>
              <w:rPr>
                <w:rFonts w:ascii="Times New Roman" w:hAnsi="Times New Roman" w:eastAsia="Times New Roman"/>
                <w:b w:val="0"/>
                <w:i w:val="0"/>
                <w:sz w:val="14"/>
              </w:rPr>
              <w:t>-</w:t>
            </w:r>
          </w:p>
        </w:tc>
        <w:tc>
          <w:tcPr>
            <w:tcW w:type="dxa" w:w="3118"/>
            <w:tcMar>
              <w:top w:w="15" w:type="dxa"/>
              <w:bottom w:w="15" w:type="dxa"/>
            </w:tcMar>
          </w:tcPr>
          <w:p>
            <w:pPr>
              <w:spacing w:before="0" w:after="0" w:line="240" w:lineRule="auto"/>
              <w:jc w:val="left"/>
            </w:pPr>
            <w:r/>
            <w:r>
              <w:rPr>
                <w:rFonts w:ascii="Times New Roman" w:hAnsi="Times New Roman" w:eastAsia="Times New Roman"/>
                <w:b w:val="0"/>
                <w:i w:val="0"/>
                <w:sz w:val="14"/>
              </w:rPr>
              <w:t>freq kd jenis kb, z bbn, r dentgk</w:t>
            </w:r>
          </w:p>
        </w:tc>
      </w:tr>
    </w:tbl>
    <w:p>
      <w:pPr>
        <w:spacing w:before="0" w:after="0" w:line="240" w:lineRule="auto"/>
        <w:jc w:val="both"/>
      </w:pPr>
    </w:p>
    <w:p>
      <w:pPr>
        <w:spacing w:before="0" w:after="0" w:line="240" w:lineRule="auto"/>
        <w:jc w:val="both"/>
      </w:pPr>
      <w:r>
        <w:rPr>
          <w:rFonts w:ascii="Times New Roman" w:hAnsi="Times New Roman" w:eastAsia="Times New Roman"/>
          <w:b w:val="0"/>
          <w:i w:val="0"/>
          <w:sz w:val="20"/>
        </w:rPr>
        <w:t>The examples in Table 7 illustrate actionable output: the two top transactions violate R06 and R08 (arrears paid without current-year principal under a code that normally carries BBNKB), whereas ML-only cases include a bus-fleet transfer with identical amounts, a registration of a rare vehicle code with a high BBNKB, and an unusual BBNKB/PKB ratio. Not all of them are errors; the system's role is to prioritise verification so that officers examine hundreds rather than hundreds of thousands of transactions.</w:t>
      </w:r>
    </w:p>
    <w:p>
      <w:pPr>
        <w:keepNext/>
        <w:spacing w:before="80" w:after="40" w:line="240" w:lineRule="auto"/>
        <w:jc w:val="left"/>
      </w:pPr>
      <w:r>
        <w:rPr>
          <w:rFonts w:ascii="Times New Roman" w:hAnsi="Times New Roman" w:eastAsia="Times New Roman"/>
          <w:b/>
          <w:i w:val="0"/>
          <w:sz w:val="20"/>
        </w:rPr>
        <w:t>3.5 Implications and limitations</w:t>
      </w:r>
    </w:p>
    <w:p>
      <w:pPr>
        <w:spacing w:before="0" w:after="0" w:line="240" w:lineRule="auto"/>
        <w:jc w:val="both"/>
      </w:pPr>
      <w:r>
        <w:rPr>
          <w:rFonts w:ascii="Times New Roman" w:hAnsi="Times New Roman" w:eastAsia="Times New Roman"/>
          <w:b w:val="0"/>
          <w:i w:val="0"/>
          <w:sz w:val="20"/>
        </w:rPr>
        <w:t>For government information systems, three practical implications follow. First, ISQL-WEB SAMSAT entry validation can be strengthened by running rules R01–R11 daily. Second, coding-scheme changes should be documented in a versioned data dictionary so that cross-year analytics are not biased. Third, the hybrid priority list with reason codes can support internal audit and revenue reconciliation. The limitations are that anomalies were evaluated through synthetic injection, so performance on real errors must be confirmed through officer verification; code semantics were derived from data because the official dictionary was unavailable; and the data cover only May–June in the SAMSAT offices studied.</w:t>
      </w:r>
    </w:p>
    <w:p>
      <w:pPr>
        <w:spacing w:before="0" w:after="0" w:line="240" w:lineRule="auto"/>
        <w:jc w:val="both"/>
      </w:pPr>
    </w:p>
    <w:p>
      <w:pPr>
        <w:keepNext/>
        <w:spacing w:before="0" w:after="60" w:line="240" w:lineRule="auto"/>
        <w:jc w:val="left"/>
      </w:pPr>
      <w:r>
        <w:rPr>
          <w:rFonts w:ascii="Times New Roman" w:hAnsi="Times New Roman" w:eastAsia="Times New Roman"/>
          <w:b/>
          <w:i w:val="0"/>
          <w:sz w:val="20"/>
        </w:rPr>
        <w:t>4. Conclusion</w:t>
      </w:r>
    </w:p>
    <w:p>
      <w:pPr>
        <w:spacing w:before="0" w:after="0" w:line="240" w:lineRule="auto"/>
        <w:jc w:val="both"/>
      </w:pPr>
      <w:r>
        <w:rPr>
          <w:rFonts w:ascii="Times New Roman" w:hAnsi="Times New Roman" w:eastAsia="Times New Roman"/>
          <w:b w:val="0"/>
          <w:i w:val="0"/>
          <w:sz w:val="20"/>
        </w:rPr>
        <w:t xml:space="preserve">The </w:t>
      </w:r>
      <w:r>
        <w:rPr>
          <w:rFonts w:ascii="Times New Roman" w:hAnsi="Times New Roman" w:eastAsia="Times New Roman"/>
          <w:b/>
          <w:i w:val="0"/>
          <w:sz w:val="20"/>
        </w:rPr>
        <w:t>problem</w:t>
      </w:r>
      <w:r>
        <w:rPr>
          <w:rFonts w:ascii="Times New Roman" w:hAnsi="Times New Roman" w:eastAsia="Times New Roman"/>
          <w:b w:val="0"/>
          <w:i w:val="0"/>
          <w:sz w:val="20"/>
        </w:rPr>
        <w:t xml:space="preserve"> addressed is the lack of a systematic mechanism to detect transaction anomalies and assess the quality of SAMSAT PKB data without ground-truth labels and amid coding-scheme changes. The proposed </w:t>
      </w:r>
      <w:r>
        <w:rPr>
          <w:rFonts w:ascii="Times New Roman" w:hAnsi="Times New Roman" w:eastAsia="Times New Roman"/>
          <w:b/>
          <w:i w:val="0"/>
          <w:sz w:val="20"/>
        </w:rPr>
        <w:t>solution</w:t>
      </w:r>
      <w:r>
        <w:rPr>
          <w:rFonts w:ascii="Times New Roman" w:hAnsi="Times New Roman" w:eastAsia="Times New Roman"/>
          <w:b w:val="0"/>
          <w:i w:val="0"/>
          <w:sz w:val="20"/>
        </w:rPr>
        <w:t xml:space="preserve"> is a three-layer hybrid detector that combines eleven domain rules, code-drift harmonisation and an Isolation Forest–LOF–autoencoder ensemble with maximum-percentile fusion. The </w:t>
      </w:r>
      <w:r>
        <w:rPr>
          <w:rFonts w:ascii="Times New Roman" w:hAnsi="Times New Roman" w:eastAsia="Times New Roman"/>
          <w:b/>
          <w:i w:val="0"/>
          <w:sz w:val="20"/>
        </w:rPr>
        <w:t>results</w:t>
      </w:r>
      <w:r>
        <w:rPr>
          <w:rFonts w:ascii="Times New Roman" w:hAnsi="Times New Roman" w:eastAsia="Times New Roman"/>
          <w:b w:val="0"/>
          <w:i w:val="0"/>
          <w:sz w:val="20"/>
        </w:rPr>
        <w:t xml:space="preserve"> on 193,899 Banten transactions from 2021–2024 show PR-AUC 0.973 and ROC-AUC 0.996 on the 2024 temporal test, higher than rules alone (0.817) and the best single ML detector (0.862); domain features raised the ensemble PR-AUC by 0.22; a 2024 recoding of status and application codes was detected; and 5.21% of transactions violated at least one rule. Future work will validate the priority list with SAMSAT officers to obtain real labels, extend coverage to all months and regions of Banten, and develop active learning from officer feedback.</w:t>
      </w:r>
    </w:p>
    <w:p>
      <w:pPr>
        <w:spacing w:before="0" w:after="0" w:line="240" w:lineRule="auto"/>
        <w:jc w:val="both"/>
      </w:pPr>
    </w:p>
    <w:p>
      <w:pPr>
        <w:spacing w:before="0" w:after="0" w:line="240" w:lineRule="auto"/>
        <w:jc w:val="both"/>
      </w:pPr>
      <w:r>
        <w:rPr>
          <w:rFonts w:ascii="Times New Roman" w:hAnsi="Times New Roman" w:eastAsia="Times New Roman"/>
          <w:b/>
          <w:i w:val="0"/>
          <w:sz w:val="20"/>
        </w:rPr>
        <w:t>Acknowledgments.</w:t>
      </w:r>
      <w:r>
        <w:rPr>
          <w:rFonts w:ascii="Times New Roman" w:hAnsi="Times New Roman" w:eastAsia="Times New Roman"/>
          <w:b w:val="0"/>
          <w:i w:val="0"/>
          <w:sz w:val="20"/>
        </w:rPr>
        <w:t xml:space="preserve"> The authors thank SAMSAT officers in Banten Province who helped provide the data for experimental purposes. Code, the Google Colab notebook and result tables are available from the corresponding author.</w:t>
      </w:r>
    </w:p>
    <w:p>
      <w:pPr>
        <w:spacing w:before="0" w:after="0" w:line="240" w:lineRule="auto"/>
        <w:jc w:val="both"/>
      </w:pPr>
    </w:p>
    <w:p>
      <w:pPr>
        <w:keepNext/>
        <w:spacing w:before="0" w:after="60" w:line="240" w:lineRule="auto"/>
        <w:jc w:val="left"/>
      </w:pPr>
      <w:r>
        <w:rPr>
          <w:rFonts w:ascii="Times New Roman" w:hAnsi="Times New Roman" w:eastAsia="Times New Roman"/>
          <w:b/>
          <w:i w:val="0"/>
          <w:sz w:val="20"/>
        </w:rPr>
        <w:t>References</w:t>
      </w:r>
    </w:p>
    <w:p>
      <w:pPr>
        <w:spacing w:before="0" w:after="0" w:line="240" w:lineRule="auto"/>
        <w:ind w:left="510" w:hanging="510"/>
        <w:jc w:val="both"/>
      </w:pPr>
      <w:r>
        <w:rPr>
          <w:rFonts w:ascii="Times New Roman" w:hAnsi="Times New Roman"/>
          <w:sz w:val="20"/>
        </w:rPr>
        <w:t>[1]</w:t>
        <w:tab/>
        <w:t>Republik Indonesia. Undang-Undang Nomor 1 Tahun 2022 tentang Hubungan Keuangan antara Pemerintah Pusat dan Pemerintahan Daerah. Lembaran Negara Republik Indonesia Tahun 2022 Nomor 4. Jakarta; 2022.</w:t>
      </w:r>
    </w:p>
    <w:p>
      <w:pPr>
        <w:spacing w:before="0" w:after="0" w:line="240" w:lineRule="auto"/>
        <w:ind w:left="510" w:hanging="510"/>
        <w:jc w:val="both"/>
      </w:pPr>
      <w:r>
        <w:rPr>
          <w:rFonts w:ascii="Times New Roman" w:hAnsi="Times New Roman"/>
          <w:sz w:val="20"/>
        </w:rPr>
        <w:t>[2]</w:t>
        <w:tab/>
        <w:t>Ambarwati R, Astuti M, Dijaya R, Idamayanti RF. The determinant factors in using e-Samsat services on motorized vehicle tax payment in East Java, Indonesia. Binus Business Review. 2021;12(1):53–61. doi:10.21512/bbr.v12i1.6496</w:t>
      </w:r>
    </w:p>
    <w:p>
      <w:pPr>
        <w:spacing w:before="0" w:after="0" w:line="240" w:lineRule="auto"/>
        <w:ind w:left="510" w:hanging="510"/>
        <w:jc w:val="both"/>
      </w:pPr>
      <w:r>
        <w:rPr>
          <w:rFonts w:ascii="Times New Roman" w:hAnsi="Times New Roman"/>
          <w:sz w:val="20"/>
        </w:rPr>
        <w:t>[3]</w:t>
        <w:tab/>
        <w:t>Ervina N, Junaidi J, Zulgani Z, Achmad E. Analysis of tax compliance levels for regional taxes in the provinces of Indonesia. Economies. 2025;13(12):354. doi:10.3390/economies13120354</w:t>
      </w:r>
    </w:p>
    <w:p>
      <w:pPr>
        <w:spacing w:before="0" w:after="0" w:line="240" w:lineRule="auto"/>
        <w:ind w:left="510" w:hanging="510"/>
        <w:jc w:val="both"/>
      </w:pPr>
      <w:r>
        <w:rPr>
          <w:rFonts w:ascii="Times New Roman" w:hAnsi="Times New Roman"/>
          <w:sz w:val="20"/>
        </w:rPr>
        <w:t>[4]</w:t>
        <w:tab/>
        <w:t>Kurniasari D, Ramadhani PS, Wamiliana, Warsono. Application of the artificial neural network algorithm to predict the realization of the duty tax on the name of motor vehicles in Lampung Province. Indonesian Journal of Artificial Intelligence and Data Mining. 2024;7(2):392–403. doi:10.24014/ijaidm.v7i2.29456</w:t>
      </w:r>
    </w:p>
    <w:p>
      <w:pPr>
        <w:spacing w:before="0" w:after="0" w:line="240" w:lineRule="auto"/>
        <w:ind w:left="510" w:hanging="510"/>
        <w:jc w:val="both"/>
      </w:pPr>
      <w:r>
        <w:rPr>
          <w:rFonts w:ascii="Times New Roman" w:hAnsi="Times New Roman"/>
          <w:sz w:val="20"/>
        </w:rPr>
        <w:t>[5]</w:t>
        <w:tab/>
        <w:t>Ehrlinger L, Wöß W. A survey of data quality measurement and monitoring tools. Frontiers in Big Data. 2022;5:850611. doi:10.3389/fdata.2022.850611</w:t>
      </w:r>
    </w:p>
    <w:p>
      <w:pPr>
        <w:spacing w:before="0" w:after="0" w:line="240" w:lineRule="auto"/>
        <w:ind w:left="510" w:hanging="510"/>
        <w:jc w:val="both"/>
      </w:pPr>
      <w:r>
        <w:rPr>
          <w:rFonts w:ascii="Times New Roman" w:hAnsi="Times New Roman"/>
          <w:sz w:val="20"/>
        </w:rPr>
        <w:t>[6]</w:t>
        <w:tab/>
        <w:t>Kapoor S, Narayanan A. Leakage and the reproducibility crisis in machine-learning-based science. Patterns. 2023;4(9):100804. doi:10.1016/j.patter.2023.100804</w:t>
      </w:r>
    </w:p>
    <w:p>
      <w:pPr>
        <w:spacing w:before="0" w:after="0" w:line="240" w:lineRule="auto"/>
        <w:ind w:left="510" w:hanging="510"/>
        <w:jc w:val="both"/>
      </w:pPr>
      <w:r>
        <w:rPr>
          <w:rFonts w:ascii="Times New Roman" w:hAnsi="Times New Roman"/>
          <w:sz w:val="20"/>
        </w:rPr>
        <w:t>[7]</w:t>
        <w:tab/>
        <w:t>Karamanou A, Brimos P, Kalampokis E, Tarabanis K. Exploring the quality of dynamic open government data using statistical and machine learning methods. Sensors. 2022;22(24):9684. doi:10.3390/s22249684</w:t>
      </w:r>
    </w:p>
    <w:p>
      <w:pPr>
        <w:spacing w:before="0" w:after="0" w:line="240" w:lineRule="auto"/>
        <w:ind w:left="510" w:hanging="510"/>
        <w:jc w:val="both"/>
      </w:pPr>
      <w:r>
        <w:rPr>
          <w:rFonts w:ascii="Times New Roman" w:hAnsi="Times New Roman"/>
          <w:sz w:val="20"/>
        </w:rPr>
        <w:t>[8]</w:t>
        <w:tab/>
        <w:t>Zheng Q, Xu Y, Liu H, Shi B, Wang J, Dong B. A survey of tax risk detection using data mining techniques. Engineering. 2024;34:43–59. doi:10.1016/j.eng.2023.07.014</w:t>
      </w:r>
    </w:p>
    <w:p>
      <w:pPr>
        <w:spacing w:before="0" w:after="0" w:line="240" w:lineRule="auto"/>
        <w:ind w:left="510" w:hanging="510"/>
        <w:jc w:val="both"/>
      </w:pPr>
      <w:r>
        <w:rPr>
          <w:rFonts w:ascii="Times New Roman" w:hAnsi="Times New Roman"/>
          <w:sz w:val="20"/>
        </w:rPr>
        <w:t>[9]</w:t>
        <w:tab/>
        <w:t>Battaglini M, Guiso L, Lacava C, Miller DL, Patacchini E. Refining public policies with machine learning: The case of tax auditing. Journal of Econometrics. 2025;249:105847. doi:10.1016/j.jeconom.2024.105847</w:t>
      </w:r>
    </w:p>
    <w:p>
      <w:pPr>
        <w:spacing w:before="0" w:after="0" w:line="240" w:lineRule="auto"/>
        <w:ind w:left="510" w:hanging="510"/>
        <w:jc w:val="both"/>
      </w:pPr>
      <w:r>
        <w:rPr>
          <w:rFonts w:ascii="Times New Roman" w:hAnsi="Times New Roman"/>
          <w:sz w:val="20"/>
        </w:rPr>
        <w:t>[10]</w:t>
        <w:tab/>
        <w:t>Baghdasaryan V, Davtyan H, Sarikyan A, Navasardyan Z. Improving tax audit efficiency using machine learning: The role of taxpayer's network data in fraud detection. Applied Artificial Intelligence. 2022;36(1):2012002. doi:10.1080/08839514.2021.2012002</w:t>
      </w:r>
    </w:p>
    <w:p>
      <w:pPr>
        <w:spacing w:before="0" w:after="0" w:line="240" w:lineRule="auto"/>
        <w:ind w:left="510" w:hanging="510"/>
        <w:jc w:val="both"/>
      </w:pPr>
      <w:r>
        <w:rPr>
          <w:rFonts w:ascii="Times New Roman" w:hAnsi="Times New Roman"/>
          <w:sz w:val="20"/>
        </w:rPr>
        <w:t>[11]</w:t>
        <w:tab/>
        <w:t>Belahouaoui R, Alm J. Tax fraud detection using artificial intelligence-based technologies: Trends and implications. Journal of Risk and Financial Management. 2025;18(9):502. doi:10.3390/jrfm18090502</w:t>
      </w:r>
    </w:p>
    <w:p>
      <w:pPr>
        <w:spacing w:before="0" w:after="0" w:line="240" w:lineRule="auto"/>
        <w:ind w:left="510" w:hanging="510"/>
        <w:jc w:val="both"/>
      </w:pPr>
      <w:r>
        <w:rPr>
          <w:rFonts w:ascii="Times New Roman" w:hAnsi="Times New Roman"/>
          <w:sz w:val="20"/>
        </w:rPr>
        <w:t>[12]</w:t>
        <w:tab/>
        <w:t>Yang L. Predictive modeling of tax compliance risks: A comparative study of machine learning approaches. PLoS One. 2025;20(9):e0331715. doi:10.1371/journal.pone.0331715</w:t>
      </w:r>
    </w:p>
    <w:p>
      <w:pPr>
        <w:spacing w:before="0" w:after="0" w:line="240" w:lineRule="auto"/>
        <w:ind w:left="510" w:hanging="510"/>
        <w:jc w:val="both"/>
      </w:pPr>
      <w:r>
        <w:rPr>
          <w:rFonts w:ascii="Times New Roman" w:hAnsi="Times New Roman"/>
          <w:sz w:val="20"/>
        </w:rPr>
        <w:t>[13]</w:t>
        <w:tab/>
        <w:t>Khreis M, Harb H, Dia S. A machine learning framework for predicting tax payment arrears: Comparative model evaluation and Shapley-value interpretability. Journal of Risk and Financial Management. 2026;19(9):723. doi:10.3390/jrfm19090723</w:t>
      </w:r>
    </w:p>
    <w:p>
      <w:pPr>
        <w:spacing w:before="0" w:after="0" w:line="240" w:lineRule="auto"/>
        <w:ind w:left="510" w:hanging="510"/>
        <w:jc w:val="both"/>
      </w:pPr>
      <w:r>
        <w:rPr>
          <w:rFonts w:ascii="Times New Roman" w:hAnsi="Times New Roman"/>
          <w:sz w:val="20"/>
        </w:rPr>
        <w:t>[14]</w:t>
        <w:tab/>
        <w:t>Savić M, Atanasijević J, Jakovetić D, Krejić N. Tax evasion risk management using a hybrid unsupervised outlier detection method. Expert Systems with Applications. 2022;193:116409. doi:10.1016/j.eswa.2021.116409</w:t>
      </w:r>
    </w:p>
    <w:p>
      <w:pPr>
        <w:spacing w:before="0" w:after="0" w:line="240" w:lineRule="auto"/>
        <w:ind w:left="510" w:hanging="510"/>
        <w:jc w:val="both"/>
      </w:pPr>
      <w:r>
        <w:rPr>
          <w:rFonts w:ascii="Times New Roman" w:hAnsi="Times New Roman"/>
          <w:sz w:val="20"/>
        </w:rPr>
        <w:t>[15]</w:t>
        <w:tab/>
        <w:t>Hilal W, Gadsden SA, Yawney J. Financial fraud: A review of anomaly detection techniques and recent advances. Expert Systems with Applications. 2022;193:116429. doi:10.1016/j.eswa.2021.116429</w:t>
      </w:r>
    </w:p>
    <w:p>
      <w:pPr>
        <w:spacing w:before="0" w:after="0" w:line="240" w:lineRule="auto"/>
        <w:ind w:left="510" w:hanging="510"/>
        <w:jc w:val="both"/>
      </w:pPr>
      <w:r>
        <w:rPr>
          <w:rFonts w:ascii="Times New Roman" w:hAnsi="Times New Roman"/>
          <w:sz w:val="20"/>
        </w:rPr>
        <w:t>[16]</w:t>
        <w:tab/>
        <w:t>Hariri S, Kind MC, Brunner RJ. Extended isolation forest. IEEE Transactions on Knowledge and Data Engineering. 2021;33(4):1479–89. doi:10.1109/TKDE.2019.2947676</w:t>
      </w:r>
    </w:p>
    <w:p>
      <w:pPr>
        <w:spacing w:before="0" w:after="0" w:line="240" w:lineRule="auto"/>
        <w:ind w:left="510" w:hanging="510"/>
        <w:jc w:val="both"/>
      </w:pPr>
      <w:r>
        <w:rPr>
          <w:rFonts w:ascii="Times New Roman" w:hAnsi="Times New Roman"/>
          <w:sz w:val="20"/>
        </w:rPr>
        <w:t>[17]</w:t>
        <w:tab/>
        <w:t>Xu H, Pang G, Wang Y, Wang Y. Deep isolation forest for anomaly detection. IEEE Transactions on Knowledge and Data Engineering. 2023;35(12):12591–604. doi:10.1109/TKDE.2023.3270293</w:t>
      </w:r>
    </w:p>
    <w:p>
      <w:pPr>
        <w:spacing w:before="0" w:after="0" w:line="240" w:lineRule="auto"/>
        <w:ind w:left="510" w:hanging="510"/>
        <w:jc w:val="both"/>
      </w:pPr>
      <w:r>
        <w:rPr>
          <w:rFonts w:ascii="Times New Roman" w:hAnsi="Times New Roman"/>
          <w:sz w:val="20"/>
        </w:rPr>
        <w:t>[18]</w:t>
        <w:tab/>
        <w:t>Alghushairy O, Alsini R, Soule T, Ma X. A review of local outlier factor algorithms for outlier detection in big data streams. Big Data and Cognitive Computing. 2021;5(1):1. doi:10.3390/bdcc5010001</w:t>
      </w:r>
    </w:p>
    <w:p>
      <w:pPr>
        <w:spacing w:before="0" w:after="0" w:line="240" w:lineRule="auto"/>
        <w:ind w:left="510" w:hanging="510"/>
        <w:jc w:val="both"/>
      </w:pPr>
      <w:r>
        <w:rPr>
          <w:rFonts w:ascii="Times New Roman" w:hAnsi="Times New Roman"/>
          <w:sz w:val="20"/>
        </w:rPr>
        <w:t>[19]</w:t>
        <w:tab/>
        <w:t>Pang G, Shen C, Cao L, van den Hengel A. Deep learning for anomaly detection: A review. ACM Computing Surveys. 2021;54(2):38. doi:10.1145/3439950</w:t>
      </w:r>
    </w:p>
    <w:p>
      <w:pPr>
        <w:spacing w:before="0" w:after="0" w:line="240" w:lineRule="auto"/>
        <w:ind w:left="510" w:hanging="510"/>
        <w:jc w:val="both"/>
      </w:pPr>
      <w:r>
        <w:rPr>
          <w:rFonts w:ascii="Times New Roman" w:hAnsi="Times New Roman"/>
          <w:sz w:val="20"/>
        </w:rPr>
        <w:t>[20]</w:t>
        <w:tab/>
        <w:t>Ruff L, Kauffmann JR, Vandermeulen RA, Montavon G, Samek W, Kloft M, Dietterich TG, Müller KR. A unifying review of deep and shallow anomaly detection. Proceedings of the IEEE. 2021;109(5):756–95. doi:10.1109/JPROC.2021.3052449</w:t>
      </w:r>
    </w:p>
    <w:p>
      <w:pPr>
        <w:spacing w:before="0" w:after="0" w:line="240" w:lineRule="auto"/>
        <w:ind w:left="510" w:hanging="510"/>
        <w:jc w:val="both"/>
      </w:pPr>
      <w:r>
        <w:rPr>
          <w:rFonts w:ascii="Times New Roman" w:hAnsi="Times New Roman"/>
          <w:sz w:val="20"/>
        </w:rPr>
        <w:t>[21]</w:t>
        <w:tab/>
        <w:t>Westerski A, Kanagasabai R, Shaham E, Narayanan A, Wong J, Singh M. Explainable anomaly detection for procurement fraud identification—lessons from practical deployments. International Transactions in Operational Research. 2021;28(6):3276–302. doi:10.1111/itor.12968</w:t>
      </w:r>
    </w:p>
    <w:p>
      <w:pPr>
        <w:spacing w:before="0" w:after="0" w:line="240" w:lineRule="auto"/>
        <w:ind w:left="510" w:hanging="510"/>
        <w:jc w:val="both"/>
      </w:pPr>
      <w:r>
        <w:rPr>
          <w:rFonts w:ascii="Times New Roman" w:hAnsi="Times New Roman"/>
          <w:sz w:val="20"/>
        </w:rPr>
        <w:t>[22]</w:t>
        <w:tab/>
        <w:t>Li Z, Zhu Y, van Leeuwen M. A survey on explainable anomaly detection. ACM Transactions on Knowledge Discovery from Data. 2024;18(1):23. doi:10.1145/3609333</w:t>
      </w:r>
    </w:p>
    <w:p>
      <w:pPr>
        <w:spacing w:before="0" w:after="0" w:line="240" w:lineRule="auto"/>
        <w:ind w:left="510" w:hanging="510"/>
        <w:jc w:val="both"/>
      </w:pPr>
      <w:r>
        <w:rPr>
          <w:rFonts w:ascii="Times New Roman" w:hAnsi="Times New Roman"/>
          <w:sz w:val="20"/>
        </w:rPr>
        <w:t>[23]</w:t>
        <w:tab/>
        <w:t>Carcillo F, Le Borgne YA, Caelen O, Kessaci Y, Oblé F, Bontempi G. Combining unsupervised and supervised learning in credit card fraud detection. Information Sciences. 2021;557:317–31. doi:10.1016/j.ins.2019.05.042</w:t>
      </w:r>
    </w:p>
    <w:p>
      <w:pPr>
        <w:spacing w:before="0" w:after="0" w:line="240" w:lineRule="auto"/>
        <w:ind w:left="510" w:hanging="510"/>
        <w:jc w:val="both"/>
      </w:pPr>
      <w:r>
        <w:rPr>
          <w:rFonts w:ascii="Times New Roman" w:hAnsi="Times New Roman"/>
          <w:sz w:val="20"/>
        </w:rPr>
        <w:t>[24]</w:t>
        <w:tab/>
        <w:t>Bakumenko A, Elragal A. Detecting anomalies in financial data using machine learning algorithms. Systems. 2022;10(5):130. doi:10.3390/systems10050130</w:t>
      </w:r>
    </w:p>
    <w:p>
      <w:pPr>
        <w:spacing w:before="0" w:after="0" w:line="240" w:lineRule="auto"/>
        <w:ind w:left="510" w:hanging="510"/>
        <w:jc w:val="both"/>
      </w:pPr>
      <w:r>
        <w:rPr>
          <w:rFonts w:ascii="Times New Roman" w:hAnsi="Times New Roman"/>
          <w:sz w:val="20"/>
        </w:rPr>
        <w:t>[25]</w:t>
        <w:tab/>
        <w:t>Steinbuss G, Böhm K. Benchmarking unsupervised outlier detection with realistic synthetic data. ACM Transactions on Knowledge Discovery from Data. 2021;15(4):65. doi:10.1145/3441453</w:t>
      </w:r>
    </w:p>
    <w:p>
      <w:pPr>
        <w:spacing w:before="0" w:after="0" w:line="240" w:lineRule="auto"/>
        <w:ind w:left="510" w:hanging="510"/>
        <w:jc w:val="both"/>
      </w:pPr>
      <w:r>
        <w:rPr>
          <w:rFonts w:ascii="Times New Roman" w:hAnsi="Times New Roman"/>
          <w:sz w:val="20"/>
        </w:rPr>
        <w:t>[26]</w:t>
        <w:tab/>
        <w:t>Bayram F, Ahmed BS, Kassler A. From concept drift to model degradation: An overview on performance-aware drift detectors. Knowledge-Based Systems. 2022;245:108632. doi:10.1016/j.knosys.2022.108632</w:t>
      </w:r>
    </w:p>
    <w:p>
      <w:pPr>
        <w:spacing w:before="0" w:after="0" w:line="240" w:lineRule="auto"/>
        <w:ind w:left="510" w:hanging="510"/>
        <w:jc w:val="both"/>
      </w:pPr>
      <w:r>
        <w:rPr>
          <w:rFonts w:ascii="Times New Roman" w:hAnsi="Times New Roman"/>
          <w:sz w:val="20"/>
        </w:rPr>
        <w:t>[27]</w:t>
        <w:tab/>
        <w:t>Shwartz-Ziv R, Armon A. Tabular data: Deep learning is not all you need. Information Fusion. 2022;81:84–90. doi:10.1016/j.inffus.2021.11.011</w:t>
      </w:r>
    </w:p>
    <w:p>
      <w:pPr>
        <w:spacing w:before="0" w:after="0" w:line="240" w:lineRule="auto"/>
        <w:ind w:left="510" w:hanging="510"/>
        <w:jc w:val="both"/>
      </w:pPr>
      <w:r>
        <w:rPr>
          <w:rFonts w:ascii="Times New Roman" w:hAnsi="Times New Roman"/>
          <w:sz w:val="20"/>
        </w:rPr>
        <w:t>[28]</w:t>
        <w:tab/>
        <w:t>Borisov V, Leemann T, Seßler K, Haug J, Pawelczyk M, Kasneci G. Deep neural networks and tabular data: A survey. IEEE Transactions on Neural Networks and Learning Systems. 2024;35(6):7499–519. doi:10.1109/TNNLS.2022.3229161</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985" w:right="1134" w:gutter="0" w:header="567" w:top="2835" w:footer="397" w:bottom="1418"/>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windows-1252"/>
    <w:family w:val="swiss"/>
    <w:pitch w:val="variable"/>
  </w:font>
  <w:font w:name="Cambria">
    <w:charset w:val="00" w:characterSet="windows-1252"/>
    <w:family w:val="roman"/>
    <w:pitch w:val="variable"/>
  </w:font>
  <w:font w:name="Tahoma">
    <w:charset w:val="00" w:characterSet="windows-1252"/>
    <w:family w:val="swiss"/>
    <w:pitch w:val="variable"/>
  </w:font>
  <w:font w:name="Courier New">
    <w:charset w:val="00" w:characterSet="windows-1252"/>
    <w:family w:val="modern"/>
    <w:pitch w:val="default"/>
  </w:font>
  <w:font w:name="Liberation Serif">
    <w:altName w:val="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360"/>
      <w:jc w:val="end"/>
      <w:rPr>
        <w:rFonts w:ascii="Cambria" w:hAnsi="Cambria" w:cs="Cambria"/>
        <w:color w:val="808080"/>
        <w:sz w:val="18"/>
        <w:szCs w:val="18"/>
      </w:rPr>
    </w:pPr>
    <w:r>
      <w:rPr>
        <w:rFonts w:cs="Cambria" w:ascii="Cambria" w:hAnsi="Cambria"/>
        <w:color w:val="808080"/>
        <w:sz w:val="18"/>
        <w:szCs w:val="18"/>
      </w:rPr>
      <mc:AlternateContent>
        <mc:Choice Requires="wps">
          <w:drawing>
            <wp:anchor behindDoc="1" distT="0" distB="0" distL="114935" distR="114935" simplePos="0" locked="0" layoutInCell="1" allowOverlap="1" relativeHeight="6">
              <wp:simplePos x="0" y="0"/>
              <wp:positionH relativeFrom="column">
                <wp:posOffset>4445</wp:posOffset>
              </wp:positionH>
              <wp:positionV relativeFrom="paragraph">
                <wp:posOffset>134620</wp:posOffset>
              </wp:positionV>
              <wp:extent cx="5580380" cy="1270"/>
              <wp:effectExtent l="635" t="5080" r="635" b="5080"/>
              <wp:wrapNone/>
              <wp:docPr id="4" name=""/>
              <a:graphic xmlns:a="http://schemas.openxmlformats.org/drawingml/2006/main">
                <a:graphicData uri="http://schemas.microsoft.com/office/word/2010/wordprocessingShape">
                  <wps:wsp>
                    <wps:cNvCnPr/>
                    <wps:spPr>
                      <a:xfrm flipH="1">
                        <a:off x="0" y="0"/>
                        <a:ext cx="5580720" cy="1440"/>
                      </a:xfrm>
                      <a:prstGeom prst="straightConnector1">
                        <a:avLst/>
                      </a:prstGeom>
                      <a:ln w="9360">
                        <a:solidFill>
                          <a:srgbClr val="7f7f7f"/>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0.35pt;margin-top:10.6pt;width:439.3pt;height:0.05pt;flip:x" type="_x0000_t32">
              <v:stroke color="#7f7f7f" weight="9360" joinstyle="miter" endcap="flat"/>
              <v:fill o:detectmouseclick="t" on="false"/>
              <w10:wrap type="none"/>
            </v:shape>
          </w:pict>
        </mc:Fallback>
      </mc:AlternateContent>
      <mc:AlternateContent>
        <mc:Choice Requires="wps">
          <w:drawing>
            <wp:anchor behindDoc="1" distT="0" distB="0" distL="114935" distR="114935" simplePos="0" locked="0" layoutInCell="1" allowOverlap="1" relativeHeight="7">
              <wp:simplePos x="0" y="0"/>
              <wp:positionH relativeFrom="column">
                <wp:posOffset>-5715</wp:posOffset>
              </wp:positionH>
              <wp:positionV relativeFrom="paragraph">
                <wp:posOffset>167005</wp:posOffset>
              </wp:positionV>
              <wp:extent cx="5580380" cy="1270"/>
              <wp:effectExtent l="635" t="14605" r="635" b="14605"/>
              <wp:wrapNone/>
              <wp:docPr id="5" name=""/>
              <a:graphic xmlns:a="http://schemas.openxmlformats.org/drawingml/2006/main">
                <a:graphicData uri="http://schemas.microsoft.com/office/word/2010/wordprocessingShape">
                  <wps:wsp>
                    <wps:cNvCnPr/>
                    <wps:spPr>
                      <a:xfrm flipH="1">
                        <a:off x="0" y="0"/>
                        <a:ext cx="5580720" cy="1440"/>
                      </a:xfrm>
                      <a:prstGeom prst="straightConnector1">
                        <a:avLst/>
                      </a:prstGeom>
                      <a:ln w="28440">
                        <a:solidFill>
                          <a:srgbClr val="7f7f7f"/>
                        </a:solidFill>
                        <a:miter/>
                      </a:ln>
                    </wps:spPr>
                    <wps:bodyPr/>
                  </wps:wsp>
                </a:graphicData>
              </a:graphic>
            </wp:anchor>
          </w:drawing>
        </mc:Choice>
        <mc:Fallback>
          <w:pict>
            <v:shape id="shape_0" stroked="t" o:allowincell="f" style="position:absolute;margin-left:-0.45pt;margin-top:13.15pt;width:439.3pt;height:0.05pt;flip:x" type="_x0000_t32">
              <v:stroke color="#7f7f7f" weight="28440" joinstyle="miter" endcap="flat"/>
              <v:fill o:detectmouseclick="t" on="false"/>
              <w10:wrap type="none"/>
            </v:shape>
          </w:pict>
        </mc:Fallback>
      </mc:AlternateContent>
      <w:fldChar w:fldCharType="begin"/>
    </w:r>
    <w:r>
      <w:rPr>
        <w:sz w:val="18"/>
        <w:szCs w:val="18"/>
        <w:rFonts w:cs="Cambria" w:ascii="Cambria" w:hAnsi="Cambria"/>
        <w:color w:val="808080"/>
      </w:rPr>
      <w:instrText xml:space="preserve"> PAGE </w:instrText>
    </w:r>
    <w:r>
      <w:rPr>
        <w:sz w:val="18"/>
        <w:szCs w:val="18"/>
        <w:rFonts w:cs="Cambria" w:ascii="Cambria" w:hAnsi="Cambria"/>
        <w:color w:val="808080"/>
      </w:rPr>
      <w:fldChar w:fldCharType="separate"/>
    </w:r>
    <w:r>
      <w:rPr>
        <w:sz w:val="18"/>
        <w:szCs w:val="18"/>
        <w:rFonts w:cs="Cambria" w:ascii="Cambria" w:hAnsi="Cambria"/>
        <w:color w:val="808080"/>
      </w:rPr>
      <w:t>2</w:t>
    </w:r>
    <w:r>
      <w:rPr>
        <w:sz w:val="18"/>
        <w:szCs w:val="18"/>
        <w:rFonts w:cs="Cambria" w:ascii="Cambria" w:hAnsi="Cambria"/>
        <w:color w:val="808080"/>
      </w:rPr>
      <w:fldChar w:fldCharType="end"/>
    </w:r>
  </w:p>
  <w:p>
    <w:pPr>
      <w:pStyle w:val="Footer"/>
      <w:rPr>
        <w:rFonts w:ascii="Cambria" w:hAnsi="Cambria" w:cs="Cambria"/>
        <w:color w:val="808080"/>
        <w:sz w:val="6"/>
        <w:szCs w:val="18"/>
        <w:shd w:fill="FBFBF3" w:val="clear"/>
      </w:rPr>
    </w:pPr>
    <w:r>
      <w:rPr>
        <w:rFonts w:cs="Cambria" w:ascii="Cambria" w:hAnsi="Cambria"/>
        <w:b/>
        <w:color w:val="808080"/>
        <w:sz w:val="18"/>
        <w:szCs w:val="18"/>
        <w:lang w:val="en-US"/>
      </w:rPr>
      <w:t>Jurnal Inovatif : Inovasi Teknologi Informasi dan Informatika SINTA 5 Accreditation</w:t>
    </w:r>
  </w:p>
  <w:p>
    <w:pPr>
      <w:pStyle w:val="Footer"/>
      <w:rPr/>
    </w:pPr>
    <w:r>
      <w:rPr>
        <w:rFonts w:cs="Cambria" w:ascii="Cambria" w:hAnsi="Cambria"/>
        <w:i/>
        <w:color w:val="808080"/>
        <w:sz w:val="18"/>
        <w:szCs w:val="18"/>
        <w:lang w:val="id-ID" w:eastAsia="en-US"/>
      </w:rPr>
      <w:drawing>
        <wp:inline distT="0" distB="0" distL="0" distR="0">
          <wp:extent cx="621030" cy="198120"/>
          <wp:effectExtent l="0" t="0" r="0" b="0"/>
          <wp:docPr id="6"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title=""/>
                  <pic:cNvPicPr>
                    <a:picLocks noChangeAspect="1" noChangeArrowheads="1"/>
                  </pic:cNvPicPr>
                </pic:nvPicPr>
                <pic:blipFill>
                  <a:blip r:embed="rId1"/>
                  <a:srcRect l="-43" t="-122" r="-43" b="-122"/>
                  <a:stretch>
                    <a:fillRect/>
                  </a:stretch>
                </pic:blipFill>
                <pic:spPr bwMode="auto">
                  <a:xfrm>
                    <a:off x="0" y="0"/>
                    <a:ext cx="621030" cy="198120"/>
                  </a:xfrm>
                  <a:prstGeom prst="rect">
                    <a:avLst/>
                  </a:prstGeom>
                </pic:spPr>
              </pic:pic>
            </a:graphicData>
          </a:graphic>
        </wp:inline>
      </w:drawing>
    </w:r>
    <w:r>
      <w:rPr>
        <w:rFonts w:eastAsia="Cambria" w:cs="Cambria" w:ascii="Cambria" w:hAnsi="Cambria"/>
        <w:b/>
        <w:color w:val="808080"/>
        <w:sz w:val="12"/>
        <w:szCs w:val="12"/>
      </w:rPr>
      <w:t xml:space="preserve"> </w:t>
    </w:r>
    <w:r>
      <w:rPr>
        <w:rFonts w:cs="Cambria" w:ascii="Cambria" w:hAnsi="Cambria"/>
        <w:b/>
        <w:color w:val="808080"/>
        <w:sz w:val="12"/>
        <w:szCs w:val="12"/>
        <w:lang w:val="en-US"/>
      </w:rPr>
      <w:t>Inovatif</w:t>
    </w:r>
    <w:r>
      <w:rPr>
        <w:rFonts w:cs="Cambria" w:ascii="Cambria" w:hAnsi="Cambria"/>
        <w:b/>
        <w:color w:val="808080"/>
        <w:sz w:val="12"/>
        <w:szCs w:val="12"/>
      </w:rPr>
      <w:t xml:space="preserve"> </w:t>
    </w:r>
    <w:r>
      <w:rPr>
        <w:rFonts w:cs="Cambria" w:ascii="Cambria" w:hAnsi="Cambria"/>
        <w:color w:val="808080"/>
        <w:sz w:val="12"/>
        <w:szCs w:val="12"/>
      </w:rPr>
      <w:t>is licensed under a Creative Commons Attribution-NonCommercial 4.0 International License (CC BY-NC 4.0).</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360"/>
      <w:jc w:val="end"/>
      <w:rPr>
        <w:rFonts w:ascii="Cambria" w:hAnsi="Cambria" w:cs="Cambria"/>
        <w:color w:val="808080"/>
        <w:sz w:val="18"/>
        <w:szCs w:val="18"/>
      </w:rPr>
    </w:pPr>
    <w:r>
      <w:rPr>
        <w:rFonts w:cs="Cambria" w:ascii="Cambria" w:hAnsi="Cambria"/>
        <w:color w:val="808080"/>
        <w:sz w:val="18"/>
        <w:szCs w:val="18"/>
      </w:rPr>
      <mc:AlternateContent>
        <mc:Choice Requires="wps">
          <w:drawing>
            <wp:anchor behindDoc="1" distT="0" distB="0" distL="114935" distR="114935" simplePos="0" locked="0" layoutInCell="1" allowOverlap="1" relativeHeight="10">
              <wp:simplePos x="0" y="0"/>
              <wp:positionH relativeFrom="column">
                <wp:posOffset>4445</wp:posOffset>
              </wp:positionH>
              <wp:positionV relativeFrom="paragraph">
                <wp:posOffset>134620</wp:posOffset>
              </wp:positionV>
              <wp:extent cx="5580380" cy="1270"/>
              <wp:effectExtent l="635" t="5080" r="635" b="5080"/>
              <wp:wrapNone/>
              <wp:docPr id="7" name=""/>
              <a:graphic xmlns:a="http://schemas.openxmlformats.org/drawingml/2006/main">
                <a:graphicData uri="http://schemas.microsoft.com/office/word/2010/wordprocessingShape">
                  <wps:wsp>
                    <wps:cNvCnPr/>
                    <wps:spPr>
                      <a:xfrm flipH="1">
                        <a:off x="0" y="0"/>
                        <a:ext cx="5580720" cy="1440"/>
                      </a:xfrm>
                      <a:prstGeom prst="straightConnector1">
                        <a:avLst/>
                      </a:prstGeom>
                      <a:ln w="9360">
                        <a:solidFill>
                          <a:srgbClr val="7f7f7f"/>
                        </a:solidFill>
                        <a:miter/>
                      </a:ln>
                    </wps:spPr>
                    <wps:bodyPr/>
                  </wps:wsp>
                </a:graphicData>
              </a:graphic>
            </wp:anchor>
          </w:drawing>
        </mc:Choice>
        <mc:Fallback>
          <w:pict>
            <v:shape id="shape_0" stroked="t" o:allowincell="f" style="position:absolute;margin-left:0.35pt;margin-top:10.6pt;width:439.3pt;height:0.05pt;flip:x" type="_x0000_t32">
              <v:stroke color="#7f7f7f" weight="9360" joinstyle="miter" endcap="flat"/>
              <v:fill o:detectmouseclick="t" on="false"/>
              <w10:wrap type="none"/>
            </v:shape>
          </w:pict>
        </mc:Fallback>
      </mc:AlternateContent>
      <mc:AlternateContent>
        <mc:Choice Requires="wps">
          <w:drawing>
            <wp:anchor behindDoc="1" distT="0" distB="0" distL="114935" distR="114935" simplePos="0" locked="0" layoutInCell="1" allowOverlap="1" relativeHeight="11">
              <wp:simplePos x="0" y="0"/>
              <wp:positionH relativeFrom="column">
                <wp:posOffset>-5715</wp:posOffset>
              </wp:positionH>
              <wp:positionV relativeFrom="paragraph">
                <wp:posOffset>167005</wp:posOffset>
              </wp:positionV>
              <wp:extent cx="5580380" cy="1270"/>
              <wp:effectExtent l="635" t="14605" r="635" b="14605"/>
              <wp:wrapNone/>
              <wp:docPr id="8" name=""/>
              <a:graphic xmlns:a="http://schemas.openxmlformats.org/drawingml/2006/main">
                <a:graphicData uri="http://schemas.microsoft.com/office/word/2010/wordprocessingShape">
                  <wps:wsp>
                    <wps:cNvCnPr/>
                    <wps:spPr>
                      <a:xfrm flipH="1">
                        <a:off x="0" y="0"/>
                        <a:ext cx="5580720" cy="1440"/>
                      </a:xfrm>
                      <a:prstGeom prst="straightConnector1">
                        <a:avLst/>
                      </a:prstGeom>
                      <a:ln w="28440">
                        <a:solidFill>
                          <a:srgbClr val="7f7f7f"/>
                        </a:solidFill>
                        <a:miter/>
                      </a:ln>
                    </wps:spPr>
                    <wps:bodyPr/>
                  </wps:wsp>
                </a:graphicData>
              </a:graphic>
            </wp:anchor>
          </w:drawing>
        </mc:Choice>
        <mc:Fallback>
          <w:pict>
            <v:shape id="shape_0" stroked="t" o:allowincell="f" style="position:absolute;margin-left:-0.45pt;margin-top:13.15pt;width:439.3pt;height:0.05pt;flip:x" type="_x0000_t32">
              <v:stroke color="#7f7f7f" weight="28440" joinstyle="miter" endcap="flat"/>
              <v:fill o:detectmouseclick="t" on="false"/>
              <w10:wrap type="none"/>
            </v:shape>
          </w:pict>
        </mc:Fallback>
      </mc:AlternateContent>
      <w:fldChar w:fldCharType="begin"/>
    </w:r>
    <w:r>
      <w:rPr>
        <w:sz w:val="18"/>
        <w:szCs w:val="18"/>
        <w:rFonts w:cs="Cambria" w:ascii="Cambria" w:hAnsi="Cambria"/>
        <w:color w:val="808080"/>
      </w:rPr>
      <w:instrText xml:space="preserve"> PAGE </w:instrText>
    </w:r>
    <w:r>
      <w:rPr>
        <w:sz w:val="18"/>
        <w:szCs w:val="18"/>
        <w:rFonts w:cs="Cambria" w:ascii="Cambria" w:hAnsi="Cambria"/>
        <w:color w:val="808080"/>
      </w:rPr>
      <w:fldChar w:fldCharType="separate"/>
    </w:r>
    <w:r>
      <w:rPr>
        <w:sz w:val="18"/>
        <w:szCs w:val="18"/>
        <w:rFonts w:cs="Cambria" w:ascii="Cambria" w:hAnsi="Cambria"/>
        <w:color w:val="808080"/>
      </w:rPr>
      <w:t>3</w:t>
    </w:r>
    <w:r>
      <w:rPr>
        <w:sz w:val="18"/>
        <w:szCs w:val="18"/>
        <w:rFonts w:cs="Cambria" w:ascii="Cambria" w:hAnsi="Cambria"/>
        <w:color w:val="808080"/>
      </w:rPr>
      <w:fldChar w:fldCharType="end"/>
    </w:r>
  </w:p>
  <w:p>
    <w:pPr>
      <w:pStyle w:val="Footer"/>
      <w:rPr>
        <w:rFonts w:ascii="Cambria" w:hAnsi="Cambria" w:cs="Cambria"/>
        <w:color w:val="808080"/>
        <w:sz w:val="6"/>
        <w:szCs w:val="18"/>
        <w:shd w:fill="FBFBF3" w:val="clear"/>
      </w:rPr>
    </w:pPr>
    <w:r>
      <w:rPr>
        <w:rFonts w:cs="Cambria" w:ascii="Cambria" w:hAnsi="Cambria"/>
        <w:b/>
        <w:color w:val="808080"/>
        <w:sz w:val="18"/>
        <w:szCs w:val="18"/>
        <w:lang w:val="en-US"/>
      </w:rPr>
      <w:t>Jurnal Inovatif : Inovasi Teknologi Informasi dan Informatika SINTA 5 Accreditation</w:t>
    </w:r>
  </w:p>
  <w:p>
    <w:pPr>
      <w:pStyle w:val="Footer"/>
      <w:rPr>
        <w:rFonts w:ascii="Cambria" w:hAnsi="Cambria" w:cs="Cambria"/>
        <w:color w:val="808080"/>
        <w:sz w:val="12"/>
        <w:szCs w:val="12"/>
      </w:rPr>
    </w:pPr>
    <w:r>
      <w:rPr>
        <w:rFonts w:cs="Cambria" w:ascii="Cambria" w:hAnsi="Cambria"/>
        <w:i/>
        <w:color w:val="808080"/>
        <w:sz w:val="18"/>
        <w:szCs w:val="18"/>
        <w:lang w:val="id-ID" w:eastAsia="en-US"/>
      </w:rPr>
      <w:drawing>
        <wp:inline distT="0" distB="0" distL="0" distR="0">
          <wp:extent cx="621030" cy="198120"/>
          <wp:effectExtent l="0" t="0" r="0" b="0"/>
          <wp:docPr id="9"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descr="" title=""/>
                  <pic:cNvPicPr>
                    <a:picLocks noChangeAspect="1" noChangeArrowheads="1"/>
                  </pic:cNvPicPr>
                </pic:nvPicPr>
                <pic:blipFill>
                  <a:blip r:embed="rId1"/>
                  <a:srcRect l="-43" t="-122" r="-43" b="-122"/>
                  <a:stretch>
                    <a:fillRect/>
                  </a:stretch>
                </pic:blipFill>
                <pic:spPr bwMode="auto">
                  <a:xfrm>
                    <a:off x="0" y="0"/>
                    <a:ext cx="621030" cy="198120"/>
                  </a:xfrm>
                  <a:prstGeom prst="rect">
                    <a:avLst/>
                  </a:prstGeom>
                </pic:spPr>
              </pic:pic>
            </a:graphicData>
          </a:graphic>
        </wp:inline>
      </w:drawing>
    </w:r>
    <w:r>
      <w:rPr>
        <w:rFonts w:eastAsia="Cambria" w:cs="Cambria" w:ascii="Cambria" w:hAnsi="Cambria"/>
        <w:b/>
        <w:color w:val="808080"/>
        <w:sz w:val="12"/>
        <w:szCs w:val="12"/>
      </w:rPr>
      <w:t xml:space="preserve"> </w:t>
    </w:r>
    <w:r>
      <w:rPr>
        <w:rFonts w:cs="Cambria" w:ascii="Cambria" w:hAnsi="Cambria"/>
        <w:b/>
        <w:color w:val="808080"/>
        <w:sz w:val="12"/>
        <w:szCs w:val="12"/>
        <w:lang w:val="en-US"/>
      </w:rPr>
      <w:t>Inovatif</w:t>
    </w:r>
    <w:r>
      <w:rPr>
        <w:rFonts w:cs="Cambria" w:ascii="Cambria" w:hAnsi="Cambria"/>
        <w:b/>
        <w:color w:val="808080"/>
        <w:sz w:val="12"/>
        <w:szCs w:val="12"/>
      </w:rPr>
      <w:t xml:space="preserve"> </w:t>
    </w:r>
    <w:r>
      <w:rPr>
        <w:rFonts w:cs="Cambria" w:ascii="Cambria" w:hAnsi="Cambria"/>
        <w:color w:val="808080"/>
        <w:sz w:val="12"/>
        <w:szCs w:val="12"/>
      </w:rPr>
      <w:t>is licensed under a Creative Commons Attribution-NonCommercial 4.0 International License (CC BY-NC 4.0).</w:t>
    </w:r>
  </w:p>
  <w:p>
    <w:pPr>
      <w:pStyle w:val="Footer"/>
      <w:rPr>
        <w:rFonts w:ascii="Cambria" w:hAnsi="Cambria" w:cs="Cambria"/>
        <w:color w:val="808080"/>
        <w:sz w:val="12"/>
        <w:szCs w:val="12"/>
      </w:rPr>
    </w:pPr>
    <w:r>
      <w:rPr>
        <w:rFonts w:cs="Cambria" w:ascii="Cambria" w:hAnsi="Cambria"/>
        <w:color w:val="808080"/>
        <w:sz w:val="12"/>
        <w:szCs w:val="12"/>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360"/>
      <w:jc w:val="end"/>
      <w:rPr>
        <w:rFonts w:ascii="Cambria" w:hAnsi="Cambria" w:cs="Cambria"/>
        <w:color w:val="808080"/>
        <w:sz w:val="18"/>
        <w:szCs w:val="18"/>
      </w:rPr>
    </w:pPr>
    <w:r>
      <w:rPr>
        <w:rFonts w:cs="Cambria" w:ascii="Cambria" w:hAnsi="Cambria"/>
        <w:color w:val="808080"/>
        <w:sz w:val="18"/>
        <w:szCs w:val="18"/>
      </w:rPr>
      <mc:AlternateContent>
        <mc:Choice Requires="wps">
          <w:drawing>
            <wp:anchor behindDoc="1" distT="0" distB="0" distL="114935" distR="114935" simplePos="0" locked="0" layoutInCell="1" allowOverlap="1" relativeHeight="8">
              <wp:simplePos x="0" y="0"/>
              <wp:positionH relativeFrom="column">
                <wp:posOffset>4445</wp:posOffset>
              </wp:positionH>
              <wp:positionV relativeFrom="paragraph">
                <wp:posOffset>134620</wp:posOffset>
              </wp:positionV>
              <wp:extent cx="5580380" cy="1270"/>
              <wp:effectExtent l="635" t="5080" r="635" b="5080"/>
              <wp:wrapNone/>
              <wp:docPr id="10" name=""/>
              <a:graphic xmlns:a="http://schemas.openxmlformats.org/drawingml/2006/main">
                <a:graphicData uri="http://schemas.microsoft.com/office/word/2010/wordprocessingShape">
                  <wps:wsp>
                    <wps:cNvCnPr/>
                    <wps:spPr>
                      <a:xfrm flipH="1">
                        <a:off x="0" y="0"/>
                        <a:ext cx="5580720" cy="1440"/>
                      </a:xfrm>
                      <a:prstGeom prst="straightConnector1">
                        <a:avLst/>
                      </a:prstGeom>
                      <a:ln w="9360">
                        <a:solidFill>
                          <a:srgbClr val="7f7f7f"/>
                        </a:solidFill>
                        <a:miter/>
                      </a:ln>
                    </wps:spPr>
                    <wps:bodyPr/>
                  </wps:wsp>
                </a:graphicData>
              </a:graphic>
            </wp:anchor>
          </w:drawing>
        </mc:Choice>
        <mc:Fallback>
          <w:pict>
            <v:shape id="shape_0" stroked="t" o:allowincell="f" style="position:absolute;margin-left:0.35pt;margin-top:10.6pt;width:439.3pt;height:0.05pt;flip:x" type="_x0000_t32">
              <v:stroke color="#7f7f7f" weight="9360" joinstyle="miter" endcap="flat"/>
              <v:fill o:detectmouseclick="t" on="false"/>
              <w10:wrap type="none"/>
            </v:shape>
          </w:pict>
        </mc:Fallback>
      </mc:AlternateContent>
      <mc:AlternateContent>
        <mc:Choice Requires="wps">
          <w:drawing>
            <wp:anchor behindDoc="1" distT="0" distB="0" distL="114935" distR="114935" simplePos="0" locked="0" layoutInCell="1" allowOverlap="1" relativeHeight="9">
              <wp:simplePos x="0" y="0"/>
              <wp:positionH relativeFrom="column">
                <wp:posOffset>-5715</wp:posOffset>
              </wp:positionH>
              <wp:positionV relativeFrom="paragraph">
                <wp:posOffset>167005</wp:posOffset>
              </wp:positionV>
              <wp:extent cx="5580380" cy="1270"/>
              <wp:effectExtent l="635" t="14605" r="635" b="14605"/>
              <wp:wrapNone/>
              <wp:docPr id="11" name=""/>
              <a:graphic xmlns:a="http://schemas.openxmlformats.org/drawingml/2006/main">
                <a:graphicData uri="http://schemas.microsoft.com/office/word/2010/wordprocessingShape">
                  <wps:wsp>
                    <wps:cNvCnPr/>
                    <wps:spPr>
                      <a:xfrm flipH="1">
                        <a:off x="0" y="0"/>
                        <a:ext cx="5580720" cy="1440"/>
                      </a:xfrm>
                      <a:prstGeom prst="straightConnector1">
                        <a:avLst/>
                      </a:prstGeom>
                      <a:ln w="28440">
                        <a:solidFill>
                          <a:srgbClr val="7f7f7f"/>
                        </a:solidFill>
                        <a:miter/>
                      </a:ln>
                    </wps:spPr>
                    <wps:bodyPr/>
                  </wps:wsp>
                </a:graphicData>
              </a:graphic>
            </wp:anchor>
          </w:drawing>
        </mc:Choice>
        <mc:Fallback>
          <w:pict>
            <v:shape id="shape_0" stroked="t" o:allowincell="f" style="position:absolute;margin-left:-0.45pt;margin-top:13.15pt;width:439.3pt;height:0.05pt;flip:x" type="_x0000_t32">
              <v:stroke color="#7f7f7f" weight="28440" joinstyle="miter" endcap="flat"/>
              <v:fill o:detectmouseclick="t" on="false"/>
              <w10:wrap type="none"/>
            </v:shape>
          </w:pict>
        </mc:Fallback>
      </mc:AlternateContent>
      <w:fldChar w:fldCharType="begin"/>
    </w:r>
    <w:r>
      <w:rPr>
        <w:sz w:val="18"/>
        <w:szCs w:val="18"/>
        <w:rFonts w:cs="Cambria" w:ascii="Cambria" w:hAnsi="Cambria"/>
        <w:color w:val="808080"/>
      </w:rPr>
      <w:instrText xml:space="preserve"> PAGE </w:instrText>
    </w:r>
    <w:r>
      <w:rPr>
        <w:sz w:val="18"/>
        <w:szCs w:val="18"/>
        <w:rFonts w:cs="Cambria" w:ascii="Cambria" w:hAnsi="Cambria"/>
        <w:color w:val="808080"/>
      </w:rPr>
      <w:fldChar w:fldCharType="separate"/>
    </w:r>
    <w:r>
      <w:rPr>
        <w:sz w:val="18"/>
        <w:szCs w:val="18"/>
        <w:rFonts w:cs="Cambria" w:ascii="Cambria" w:hAnsi="Cambria"/>
        <w:color w:val="808080"/>
      </w:rPr>
      <w:t>1</w:t>
    </w:r>
    <w:r>
      <w:rPr>
        <w:sz w:val="18"/>
        <w:szCs w:val="18"/>
        <w:rFonts w:cs="Cambria" w:ascii="Cambria" w:hAnsi="Cambria"/>
        <w:color w:val="808080"/>
      </w:rPr>
      <w:fldChar w:fldCharType="end"/>
    </w:r>
  </w:p>
  <w:p>
    <w:pPr>
      <w:pStyle w:val="Footer"/>
      <w:rPr>
        <w:rFonts w:ascii="Cambria" w:hAnsi="Cambria" w:cs="Cambria"/>
        <w:color w:val="808080"/>
        <w:sz w:val="6"/>
        <w:szCs w:val="18"/>
        <w:shd w:fill="FBFBF3" w:val="clear"/>
      </w:rPr>
    </w:pPr>
    <w:r>
      <w:rPr>
        <w:rFonts w:cs="Cambria" w:ascii="Cambria" w:hAnsi="Cambria"/>
        <w:b/>
        <w:color w:val="808080"/>
        <w:sz w:val="18"/>
        <w:szCs w:val="18"/>
        <w:lang w:val="en-US"/>
      </w:rPr>
      <w:t>Jurnal Inovatif : Inovasi Teknologi Informasi dan Informatika SINTA 5 Accreditation</w:t>
    </w:r>
  </w:p>
  <w:p>
    <w:pPr>
      <w:pStyle w:val="Footer"/>
      <w:rPr/>
    </w:pPr>
    <w:r>
      <w:rPr>
        <w:rFonts w:cs="Cambria" w:ascii="Cambria" w:hAnsi="Cambria"/>
        <w:i/>
        <w:color w:val="808080"/>
        <w:sz w:val="18"/>
        <w:szCs w:val="18"/>
        <w:lang w:val="id-ID" w:eastAsia="en-US"/>
      </w:rPr>
      <w:drawing>
        <wp:inline distT="0" distB="0" distL="0" distR="0">
          <wp:extent cx="621030" cy="198120"/>
          <wp:effectExtent l="0" t="0" r="0" b="0"/>
          <wp:docPr id="12"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 title=""/>
                  <pic:cNvPicPr>
                    <a:picLocks noChangeAspect="1" noChangeArrowheads="1"/>
                  </pic:cNvPicPr>
                </pic:nvPicPr>
                <pic:blipFill>
                  <a:blip r:embed="rId1"/>
                  <a:srcRect l="-43" t="-122" r="-43" b="-122"/>
                  <a:stretch>
                    <a:fillRect/>
                  </a:stretch>
                </pic:blipFill>
                <pic:spPr bwMode="auto">
                  <a:xfrm>
                    <a:off x="0" y="0"/>
                    <a:ext cx="621030" cy="198120"/>
                  </a:xfrm>
                  <a:prstGeom prst="rect">
                    <a:avLst/>
                  </a:prstGeom>
                </pic:spPr>
              </pic:pic>
            </a:graphicData>
          </a:graphic>
        </wp:inline>
      </w:drawing>
    </w:r>
    <w:r>
      <w:rPr>
        <w:rFonts w:eastAsia="Cambria" w:cs="Cambria" w:ascii="Cambria" w:hAnsi="Cambria"/>
        <w:b/>
        <w:color w:val="808080"/>
        <w:sz w:val="12"/>
        <w:szCs w:val="12"/>
      </w:rPr>
      <w:t xml:space="preserve"> </w:t>
    </w:r>
    <w:r>
      <w:rPr>
        <w:rFonts w:cs="Cambria" w:ascii="Cambria" w:hAnsi="Cambria"/>
        <w:b/>
        <w:color w:val="808080"/>
        <w:sz w:val="12"/>
        <w:szCs w:val="12"/>
        <w:lang w:val="en-US"/>
      </w:rPr>
      <w:t>Inovatif</w:t>
    </w:r>
    <w:r>
      <w:rPr>
        <w:rFonts w:cs="Cambria" w:ascii="Cambria" w:hAnsi="Cambria"/>
        <w:b/>
        <w:color w:val="808080"/>
        <w:sz w:val="12"/>
        <w:szCs w:val="12"/>
      </w:rPr>
      <w:t xml:space="preserve"> </w:t>
    </w:r>
    <w:r>
      <w:rPr>
        <w:rFonts w:cs="Cambria" w:ascii="Cambria" w:hAnsi="Cambria"/>
        <w:color w:val="808080"/>
        <w:sz w:val="12"/>
        <w:szCs w:val="12"/>
      </w:rPr>
      <w:t>is licensed under a Creative Commons Attribution-NonCommercial 4.0 International License (CC BY-NC 4.0).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b/>
        <w:szCs w:val="18"/>
      </w:rPr>
    </w:pPr>
    <w:r>
      <w:rPr>
        <w:b/>
        <w:szCs w:val="18"/>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Times New Roman" w:hAnsi="Times New Roman" w:cs="Times New Roman"/>
        <w:i/>
        <w:i/>
        <w:iCs/>
        <w:sz w:val="26"/>
        <w:szCs w:val="26"/>
        <w:lang w:val="en-US"/>
      </w:rPr>
    </w:pPr>
    <w:r>
      <w:rPr>
        <w:rFonts w:cs="Times New Roman" w:ascii="Times New Roman" w:hAnsi="Times New Roman"/>
        <w:i/>
        <w:iCs/>
        <w:sz w:val="26"/>
        <w:szCs w:val="26"/>
        <w:lang w:val="en-US"/>
      </w:rPr>
    </w:r>
  </w:p>
  <w:p>
    <w:pPr>
      <w:pStyle w:val="Header"/>
      <w:rPr>
        <w:rFonts w:ascii="Times New Roman" w:hAnsi="Times New Roman" w:cs="Times New Roman"/>
        <w:bCs/>
        <w:i/>
        <w:i/>
        <w:iCs/>
        <w:sz w:val="26"/>
        <w:szCs w:val="26"/>
        <w:lang w:val="en-US"/>
      </w:rPr>
    </w:pPr>
    <w:r>
      <w:rPr>
        <w:rFonts w:cs="Times New Roman" w:ascii="Times New Roman" w:hAnsi="Times New Roman"/>
        <w:i/>
        <w:iCs/>
        <w:sz w:val="26"/>
        <w:szCs w:val="26"/>
        <w:lang w:val="en-US"/>
      </w:rPr>
      <w:t>Jurnal Inovatif : Inovasi Teknologi Informasi dan Informatika</w:t>
    </w:r>
    <w:r>
      <w:rPr>
        <w:rFonts w:cs="Times New Roman" w:ascii="Times New Roman" w:hAnsi="Times New Roman"/>
        <w:i/>
        <w:iCs/>
        <w:sz w:val="26"/>
        <w:szCs w:val="26"/>
      </w:rPr>
      <w:t xml:space="preserve">, </w:t>
    </w:r>
    <w:r>
      <w:rPr>
        <w:rFonts w:cs="Times New Roman" w:ascii="Times New Roman" w:hAnsi="Times New Roman"/>
        <w:i/>
        <w:iCs/>
        <w:sz w:val="26"/>
        <w:szCs w:val="26"/>
        <w:lang w:val="en-US"/>
      </w:rPr>
      <w:t>5</w:t>
    </w:r>
    <w:r>
      <w:rPr>
        <w:rFonts w:cs="Times New Roman" w:ascii="Times New Roman" w:hAnsi="Times New Roman"/>
        <w:i/>
        <w:iCs/>
        <w:sz w:val="26"/>
        <w:szCs w:val="26"/>
      </w:rPr>
      <w:t xml:space="preserve"> (</w:t>
    </w:r>
    <w:r>
      <w:rPr>
        <w:rFonts w:cs="Times New Roman" w:ascii="Times New Roman" w:hAnsi="Times New Roman"/>
        <w:i/>
        <w:iCs/>
        <w:sz w:val="26"/>
        <w:szCs w:val="26"/>
        <w:lang w:val="en-US"/>
      </w:rPr>
      <w:t>1</w:t>
    </w:r>
    <w:r>
      <w:rPr>
        <w:rFonts w:cs="Times New Roman" w:ascii="Times New Roman" w:hAnsi="Times New Roman"/>
        <w:i/>
        <w:iCs/>
        <w:sz w:val="26"/>
        <w:szCs w:val="26"/>
      </w:rPr>
      <w:t>) (202</w:t>
    </w:r>
    <w:r>
      <w:rPr>
        <w:rFonts w:cs="Times New Roman" w:ascii="Times New Roman" w:hAnsi="Times New Roman"/>
        <w:i/>
        <w:iCs/>
        <w:sz w:val="26"/>
        <w:szCs w:val="26"/>
        <w:lang w:val="en-US"/>
      </w:rPr>
      <w:t>2</w:t>
    </w:r>
    <w:r>
      <w:rPr>
        <w:rFonts w:cs="Times New Roman" w:ascii="Times New Roman" w:hAnsi="Times New Roman"/>
        <w:i/>
        <w:iCs/>
        <w:sz w:val="26"/>
        <w:szCs w:val="26"/>
      </w:rPr>
      <w:t xml:space="preserve">) </w:t>
    </w:r>
    <w:r>
      <w:rPr>
        <w:rFonts w:cs="Times New Roman" w:ascii="Times New Roman" w:hAnsi="Times New Roman"/>
        <w:i/>
        <w:iCs/>
        <w:sz w:val="26"/>
        <w:szCs w:val="26"/>
        <w:lang w:val="en-US"/>
      </w:rPr>
      <w:t>xx</w:t>
    </w:r>
    <w:r>
      <w:rPr>
        <w:rFonts w:cs="Times New Roman" w:ascii="Times New Roman" w:hAnsi="Times New Roman"/>
        <w:i/>
        <w:iCs/>
        <w:sz w:val="26"/>
        <w:szCs w:val="26"/>
      </w:rPr>
      <w:t>-</w:t>
    </w:r>
    <w:r>
      <w:rPr>
        <w:rFonts w:cs="Times New Roman" w:ascii="Times New Roman" w:hAnsi="Times New Roman"/>
        <w:i/>
        <w:iCs/>
        <w:sz w:val="26"/>
        <w:szCs w:val="26"/>
        <w:lang w:val="en-US"/>
      </w:rPr>
      <w:t>xx</w:t>
    </w:r>
  </w:p>
  <w:p>
    <w:pPr>
      <w:pStyle w:val="Header"/>
      <w:rPr>
        <w:rFonts w:ascii="Times New Roman" w:hAnsi="Times New Roman" w:cs="Times New Roman"/>
        <w:lang w:val="en-US" w:eastAsia="en-US"/>
      </w:rPr>
    </w:pPr>
    <w:r>
      <w:drawing>
        <wp:anchor behindDoc="1" distT="0" distB="0" distL="114935" distR="114935" simplePos="0" locked="0" layoutInCell="1" allowOverlap="1" relativeHeight="13">
          <wp:simplePos x="0" y="0"/>
          <wp:positionH relativeFrom="column">
            <wp:posOffset>4224020</wp:posOffset>
          </wp:positionH>
          <wp:positionV relativeFrom="paragraph">
            <wp:posOffset>7620</wp:posOffset>
          </wp:positionV>
          <wp:extent cx="626110" cy="879475"/>
          <wp:effectExtent l="0" t="0" r="0" b="0"/>
          <wp:wrapNone/>
          <wp:docPr id="2"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title=""/>
                  <pic:cNvPicPr>
                    <a:picLocks noChangeAspect="1" noChangeArrowheads="1"/>
                  </pic:cNvPicPr>
                </pic:nvPicPr>
                <pic:blipFill>
                  <a:blip r:embed="rId1"/>
                  <a:srcRect l="-7" t="-5" r="-7" b="-5"/>
                  <a:stretch>
                    <a:fillRect/>
                  </a:stretch>
                </pic:blipFill>
                <pic:spPr bwMode="auto">
                  <a:xfrm>
                    <a:off x="0" y="0"/>
                    <a:ext cx="626110" cy="879475"/>
                  </a:xfrm>
                  <a:prstGeom prst="rect">
                    <a:avLst/>
                  </a:prstGeom>
                </pic:spPr>
              </pic:pic>
            </a:graphicData>
          </a:graphic>
        </wp:anchor>
      </w:drawing>
    </w:r>
    <w:r>
      <w:rPr>
        <w:rFonts w:cs="Times New Roman" w:ascii="Times New Roman" w:hAnsi="Times New Roman"/>
        <w:lang w:val="en-US" w:eastAsia="en-US"/>
      </w:rPr>
      <w:t xml:space="preserve">Journal homepage: </w:t>
    </w:r>
    <w:hyperlink r:id="rId2">
      <w:r>
        <w:rPr>
          <w:rStyle w:val="Hyperlink"/>
          <w:rFonts w:cs="Times New Roman" w:ascii="Times New Roman" w:hAnsi="Times New Roman"/>
          <w:lang w:val="en-US" w:eastAsia="en-US"/>
        </w:rPr>
        <w:t>http://ejournal.uika-bogor.ac.id/index.php/INOVA-TIF/index</w:t>
      </w:r>
    </w:hyperlink>
  </w:p>
  <w:p>
    <w:pPr>
      <w:pStyle w:val="Header"/>
      <w:rPr>
        <w:rStyle w:val="PageNumber"/>
        <w:rFonts w:ascii="Times New Roman" w:hAnsi="Times New Roman" w:eastAsia="MS Mincho;ＭＳ 明朝" w:cs="Times New Roman"/>
        <w:lang w:val="en-US"/>
      </w:rPr>
    </w:pPr>
    <w:r>
      <w:rPr>
        <w:rFonts w:cs="Times New Roman" w:ascii="Times New Roman" w:hAnsi="Times New Roman"/>
        <w:lang w:val="en-US" w:eastAsia="en-US"/>
      </w:rPr>
      <w:t xml:space="preserve">E-ISSN : </w:t>
    </w:r>
    <w:hyperlink r:id="rId3" w:tgtFrame="_blank">
      <w:r>
        <w:rPr>
          <w:rStyle w:val="Hyperlink"/>
          <w:rFonts w:cs="Times New Roman" w:ascii="Times New Roman" w:hAnsi="Times New Roman"/>
          <w:color w:val="0D3D6B"/>
          <w:sz w:val="18"/>
          <w:szCs w:val="18"/>
          <w:shd w:fill="FFFFFF" w:val="clear"/>
        </w:rPr>
        <w:t>2654-5519</w:t>
      </w:r>
    </w:hyperlink>
    <w:r>
      <w:rPr>
        <w:rFonts w:cs="Times New Roman" w:ascii="Times New Roman" w:hAnsi="Times New Roman"/>
        <w:lang w:val="en-US" w:eastAsia="en-US"/>
      </w:rPr>
      <w:t xml:space="preserve">. P-ISSN : </w:t>
    </w:r>
    <w:hyperlink r:id="rId4" w:tgtFrame="_blank">
      <w:r>
        <w:rPr>
          <w:rStyle w:val="Hyperlink"/>
          <w:rFonts w:cs="Times New Roman" w:ascii="Times New Roman" w:hAnsi="Times New Roman"/>
          <w:color w:val="0D3D6B"/>
          <w:sz w:val="18"/>
          <w:szCs w:val="18"/>
          <w:shd w:fill="FFFFFF" w:val="clear"/>
        </w:rPr>
        <w:t>2654-553</w:t>
      </w:r>
    </w:hyperlink>
    <w:r>
      <w:rPr>
        <w:rFonts w:cs="Times New Roman" w:ascii="Times New Roman" w:hAnsi="Times New Roman"/>
        <w:lang w:val="en-US"/>
      </w:rPr>
      <w:t xml:space="preserve"> | DOI : </w:t>
    </w:r>
    <w:hyperlink r:id="rId5" w:tgtFrame="_blank">
      <w:r>
        <w:rPr>
          <w:rStyle w:val="Hyperlink"/>
          <w:rFonts w:cs="Times New Roman" w:ascii="Times New Roman" w:hAnsi="Times New Roman"/>
          <w:color w:val="0D3D6B"/>
          <w:sz w:val="18"/>
          <w:szCs w:val="18"/>
          <w:shd w:fill="FFFFFF" w:val="clear"/>
        </w:rPr>
        <w:t>10.32832/inovatif</w:t>
      </w:r>
    </w:hyperlink>
  </w:p>
  <w:p>
    <w:pPr>
      <w:pStyle w:val="Header"/>
      <w:rPr>
        <w:rFonts w:ascii="Times New Roman" w:hAnsi="Times New Roman" w:cs="Times New Roman"/>
      </w:rPr>
    </w:pPr>
    <w:r>
      <w:rPr>
        <w:rFonts w:cs="Times New Roman" w:ascii="Times New Roman" w:hAnsi="Times New Roman"/>
      </w:rPr>
      <w:t xml:space="preserve">Published by: </w:t>
    </w:r>
    <w:hyperlink r:id="rId6">
      <w:r>
        <w:rPr>
          <w:rStyle w:val="Hyperlink"/>
          <w:rFonts w:cs="Times New Roman" w:ascii="Times New Roman" w:hAnsi="Times New Roman"/>
        </w:rPr>
        <w:t>Universitas Ibn Khaldun</w:t>
      </w:r>
    </w:hyperlink>
  </w:p>
  <w:p>
    <w:pPr>
      <w:pStyle w:val="Header"/>
      <w:rPr>
        <w:rFonts w:ascii="Times New Roman" w:hAnsi="Times New Roman" w:cs="Times New Roman"/>
      </w:rPr>
    </w:pPr>
    <w:r>
      <w:rPr>
        <w:rFonts w:cs="Times New Roman" w:ascii="Times New Roman" w:hAnsi="Times New Roman"/>
      </w:rPr>
    </w:r>
  </w:p>
  <w:p>
    <w:pPr>
      <w:pStyle w:val="Header"/>
      <w:rPr>
        <w:rFonts w:ascii="Times New Roman" w:hAnsi="Times New Roman" w:cs="Times New Roman"/>
      </w:rPr>
    </w:pPr>
    <w:r>
      <w:rPr>
        <w:rFonts w:cs="Times New Roman" w:ascii="Times New Roman" w:hAnsi="Times New Roman"/>
      </w:rPr>
    </w:r>
  </w:p>
  <w:p>
    <w:pPr>
      <w:pStyle w:val="Header"/>
      <w:rPr>
        <w:rFonts w:ascii="Times New Roman" w:hAnsi="Times New Roman" w:cs="Times New Roman"/>
      </w:rPr>
    </w:pPr>
    <w:r>
      <w:rPr>
        <w:rFonts w:cs="Times New Roman" w:ascii="Times New Roman" w:hAnsi="Times New Roman"/>
      </w:rPr>
    </w:r>
  </w:p>
  <w:p>
    <w:pPr>
      <w:pStyle w:val="Header"/>
      <w:rPr>
        <w:rFonts w:ascii="Times New Roman" w:hAnsi="Times New Roman" w:cs="Times New Roman"/>
      </w:rPr>
    </w:pPr>
    <w:r>
      <mc:AlternateContent>
        <mc:Choice Requires="wps">
          <w:drawing>
            <wp:anchor behindDoc="1" distT="0" distB="0" distL="114935" distR="114935" simplePos="0" locked="0" layoutInCell="1" allowOverlap="1" relativeHeight="12">
              <wp:simplePos x="0" y="0"/>
              <wp:positionH relativeFrom="column">
                <wp:posOffset>-12700</wp:posOffset>
              </wp:positionH>
              <wp:positionV relativeFrom="paragraph">
                <wp:posOffset>52705</wp:posOffset>
              </wp:positionV>
              <wp:extent cx="5570855" cy="0"/>
              <wp:effectExtent l="0" t="12700" r="0" b="32385"/>
              <wp:wrapNone/>
              <wp:docPr id="3" name="Straight Connector 13"/>
              <a:graphic xmlns:a="http://schemas.openxmlformats.org/drawingml/2006/main">
                <a:graphicData uri="http://schemas.microsoft.com/office/word/2010/wordprocessingShape">
                  <wps:wsp>
                    <wps:cNvSpPr/>
                    <wps:spPr>
                      <a:xfrm>
                        <a:off x="0" y="0"/>
                        <a:ext cx="5571000" cy="0"/>
                      </a:xfrm>
                      <a:prstGeom prst="line">
                        <a:avLst/>
                      </a:prstGeom>
                      <a:ln w="25560">
                        <a:solidFill>
                          <a:srgbClr val="4f81bd"/>
                        </a:solidFill>
                        <a:miter/>
                      </a:ln>
                    </wps:spPr>
                    <wps:style>
                      <a:lnRef idx="0"/>
                      <a:fillRef idx="0"/>
                      <a:effectRef idx="0"/>
                      <a:fontRef idx="minor"/>
                    </wps:style>
                    <wps:bodyPr/>
                  </wps:wsp>
                </a:graphicData>
              </a:graphic>
            </wp:anchor>
          </w:drawing>
        </mc:Choice>
        <mc:Fallback>
          <w:pict>
            <v:line id="shape_0" from="-1pt,4.15pt" to="437.6pt,4.15pt" ID="Straight Connector 13" stroked="t" o:allowincell="f" style="position:absolute">
              <v:stroke color="#4f81bd" weight="25560" joinstyle="miter" endcap="flat"/>
              <v:fill o:detectmouseclick="t" on="false"/>
              <v:shadow on="t" obscured="f" color="black"/>
              <w10:wrap type="none"/>
            </v:line>
          </w:pict>
        </mc:Fallback>
      </mc:AlternateContent>
    </w:r>
    <w:r>
      <w:rPr>
        <w:rFonts w:cs="Times New Roman" w:ascii="Times New Roman" w:hAnsi="Times New Roman"/>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mirrorMargins/>
  <w:defaultTabStop w:val="720"/>
  <w:autoHyphenation w:val="true"/>
  <w:evenAndOddHeaders/>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Arial"/>
      <w:color w:val="auto"/>
      <w:sz w:val="22"/>
      <w:szCs w:val="22"/>
      <w:lang w:val="id-ID" w:bidi="ar-SA" w:eastAsia="zh-CN"/>
    </w:rPr>
  </w:style>
  <w:style w:type="paragraph" w:styleId="Heading1">
    <w:name w:val="Heading 1"/>
    <w:basedOn w:val="Normal"/>
    <w:next w:val="Normal"/>
    <w:qFormat/>
    <w:pPr>
      <w:keepNext w:val="true"/>
      <w:keepLines/>
      <w:numPr>
        <w:ilvl w:val="0"/>
        <w:numId w:val="1"/>
      </w:numPr>
      <w:spacing w:before="240" w:after="0"/>
      <w:outlineLvl w:val="0"/>
    </w:pPr>
    <w:rPr>
      <w:rFonts w:ascii="Cambria" w:hAnsi="Cambria" w:cs="Times New Roman"/>
      <w:color w:val="365F91"/>
      <w:sz w:val="32"/>
      <w:szCs w:val="32"/>
      <w:lang w:val="en-US"/>
    </w:rPr>
  </w:style>
  <w:style w:type="paragraph" w:styleId="Heading2">
    <w:name w:val="Heading 2"/>
    <w:basedOn w:val="Normal"/>
    <w:next w:val="Normal"/>
    <w:qFormat/>
    <w:pPr>
      <w:keepNext w:val="true"/>
      <w:keepLines/>
      <w:numPr>
        <w:ilvl w:val="1"/>
        <w:numId w:val="1"/>
      </w:numPr>
      <w:spacing w:before="200" w:after="0"/>
      <w:outlineLvl w:val="1"/>
    </w:pPr>
    <w:rPr>
      <w:rFonts w:ascii="Cambria" w:hAnsi="Cambria" w:cs="Times New Roman"/>
      <w:b/>
      <w:bCs/>
      <w:color w:val="4F81BD"/>
      <w:sz w:val="26"/>
      <w:szCs w:val="26"/>
      <w:lang w:val="en-US"/>
    </w:rPr>
  </w:style>
  <w:style w:type="paragraph" w:styleId="Heading3">
    <w:name w:val="Heading 3"/>
    <w:basedOn w:val="Normal"/>
    <w:next w:val="Normal"/>
    <w:qFormat/>
    <w:pPr>
      <w:keepNext w:val="true"/>
      <w:keepLines/>
      <w:numPr>
        <w:ilvl w:val="2"/>
        <w:numId w:val="1"/>
      </w:numPr>
      <w:spacing w:before="200" w:after="0"/>
      <w:outlineLvl w:val="2"/>
    </w:pPr>
    <w:rPr>
      <w:rFonts w:ascii="Cambria" w:hAnsi="Cambria" w:cs="Times New Roman"/>
      <w:b/>
      <w:bCs/>
      <w:color w:val="4F81BD"/>
      <w:sz w:val="20"/>
      <w:szCs w:val="20"/>
      <w:lang w:val="en-US"/>
    </w:rPr>
  </w:style>
  <w:style w:type="character" w:styleId="WW8Num1z0">
    <w:name w:val="WW8Num1z0"/>
    <w:qFormat/>
    <w:rPr>
      <w:i w:val="false"/>
    </w:rPr>
  </w:style>
  <w:style w:type="character" w:styleId="WW8Num2z0">
    <w:name w:val="WW8Num2z0"/>
    <w:qFormat/>
    <w:rPr>
      <w:i w:val="false"/>
    </w:rPr>
  </w:style>
  <w:style w:type="character" w:styleId="WW8Num2z1">
    <w:name w:val="WW8Num2z1"/>
    <w:qFormat/>
    <w:rPr>
      <w:b/>
      <w:i w:val="false"/>
    </w:rPr>
  </w:style>
  <w:style w:type="character" w:styleId="WW8Num2z2">
    <w:name w:val="WW8Num2z2"/>
    <w:qFormat/>
    <w:rPr/>
  </w:style>
  <w:style w:type="character" w:styleId="DefaultParagraphFont">
    <w:name w:val="Default Paragraph Font"/>
    <w:qFormat/>
    <w:rPr/>
  </w:style>
  <w:style w:type="character" w:styleId="Heading1Char">
    <w:name w:val="Heading 1 Char"/>
    <w:qFormat/>
    <w:rPr>
      <w:rFonts w:ascii="Cambria" w:hAnsi="Cambria" w:eastAsia="Times New Roman" w:cs="Times New Roman"/>
      <w:color w:val="365F91"/>
      <w:sz w:val="32"/>
      <w:szCs w:val="32"/>
    </w:rPr>
  </w:style>
  <w:style w:type="character" w:styleId="Heading3Char">
    <w:name w:val="Heading 3 Char"/>
    <w:qFormat/>
    <w:rPr>
      <w:rFonts w:ascii="Cambria" w:hAnsi="Cambria" w:eastAsia="Times New Roman" w:cs="Times New Roman"/>
      <w:b/>
      <w:bCs/>
      <w:color w:val="4F81BD"/>
    </w:rPr>
  </w:style>
  <w:style w:type="character" w:styleId="BalloonTextChar">
    <w:name w:val="Balloon Text Char"/>
    <w:qFormat/>
    <w:rPr>
      <w:rFonts w:ascii="Tahoma" w:hAnsi="Tahoma" w:cs="Tahoma"/>
      <w:sz w:val="16"/>
      <w:szCs w:val="16"/>
    </w:rPr>
  </w:style>
  <w:style w:type="character" w:styleId="CommentReference">
    <w:name w:val="Comment Reference"/>
    <w:qFormat/>
    <w:rPr>
      <w:rFonts w:cs="Times New Roman"/>
      <w:sz w:val="16"/>
      <w:szCs w:val="16"/>
    </w:rPr>
  </w:style>
  <w:style w:type="character" w:styleId="CommentTextChar">
    <w:name w:val="Comment Text Char"/>
    <w:qFormat/>
    <w:rPr>
      <w:rFonts w:cs="Times New Roman"/>
      <w:sz w:val="20"/>
      <w:szCs w:val="20"/>
    </w:rPr>
  </w:style>
  <w:style w:type="character" w:styleId="CommentSubjectChar">
    <w:name w:val="Comment Subject Char"/>
    <w:qFormat/>
    <w:rPr>
      <w:rFonts w:cs="Times New Roman"/>
      <w:b/>
      <w:bCs/>
      <w:sz w:val="20"/>
      <w:szCs w:val="20"/>
    </w:rPr>
  </w:style>
  <w:style w:type="character" w:styleId="HeaderChar">
    <w:name w:val="Header Char"/>
    <w:qFormat/>
    <w:rPr>
      <w:rFonts w:cs="Times New Roman"/>
    </w:rPr>
  </w:style>
  <w:style w:type="character" w:styleId="FooterChar">
    <w:name w:val="Footer Char"/>
    <w:qFormat/>
    <w:rPr>
      <w:rFonts w:cs="Times New Roman"/>
    </w:rPr>
  </w:style>
  <w:style w:type="character" w:styleId="FootnoteTextChar">
    <w:name w:val="Footnote Text Char"/>
    <w:qFormat/>
    <w:rPr>
      <w:rFonts w:cs="Times New Roman"/>
      <w:sz w:val="20"/>
      <w:szCs w:val="20"/>
    </w:rPr>
  </w:style>
  <w:style w:type="character" w:styleId="FootnoteCharacters">
    <w:name w:val="Footnote Characters"/>
    <w:qFormat/>
    <w:rPr>
      <w:rFonts w:cs="Times New Roman"/>
      <w:vertAlign w:val="superscript"/>
    </w:rPr>
  </w:style>
  <w:style w:type="character" w:styleId="Hyperlink">
    <w:name w:val="Hyperlink"/>
    <w:rPr>
      <w:rFonts w:cs="Times New Roman"/>
      <w:color w:val="0000FF"/>
      <w:u w:val="single"/>
    </w:rPr>
  </w:style>
  <w:style w:type="character" w:styleId="fontstyle01">
    <w:name w:val="fontstyle01"/>
    <w:qFormat/>
    <w:rPr>
      <w:rFonts w:ascii="Times New Roman" w:hAnsi="Times New Roman" w:cs="Times New Roman"/>
      <w:b w:val="false"/>
      <w:bCs w:val="false"/>
      <w:i w:val="false"/>
      <w:iCs w:val="false"/>
      <w:color w:val="000000"/>
      <w:sz w:val="20"/>
      <w:szCs w:val="20"/>
    </w:rPr>
  </w:style>
  <w:style w:type="character" w:styleId="TitleChar">
    <w:name w:val="Title Char"/>
    <w:qFormat/>
    <w:rPr>
      <w:rFonts w:ascii="Times New Roman" w:hAnsi="Times New Roman" w:cs="Times New Roman"/>
      <w:b/>
      <w:sz w:val="24"/>
      <w:szCs w:val="20"/>
      <w:lang w:val="en-US"/>
    </w:rPr>
  </w:style>
  <w:style w:type="character" w:styleId="BodyTextChar">
    <w:name w:val="Body Text Char"/>
    <w:qFormat/>
    <w:rPr>
      <w:rFonts w:ascii="Times New Roman" w:hAnsi="Times New Roman" w:cs="Times New Roman"/>
      <w:sz w:val="24"/>
      <w:szCs w:val="20"/>
      <w:lang w:val="en-US"/>
    </w:rPr>
  </w:style>
  <w:style w:type="character" w:styleId="BodyText2Char">
    <w:name w:val="Body Text 2 Char"/>
    <w:qFormat/>
    <w:rPr>
      <w:rFonts w:ascii="Times New Roman" w:hAnsi="Times New Roman" w:cs="Times New Roman"/>
      <w:sz w:val="24"/>
      <w:szCs w:val="20"/>
      <w:lang w:val="en-US"/>
    </w:rPr>
  </w:style>
  <w:style w:type="character" w:styleId="Strong">
    <w:name w:val="Strong"/>
    <w:qFormat/>
    <w:rPr>
      <w:b/>
      <w:bCs/>
    </w:rPr>
  </w:style>
  <w:style w:type="character" w:styleId="Heading2Char">
    <w:name w:val="Heading 2 Char"/>
    <w:qFormat/>
    <w:rPr>
      <w:rFonts w:ascii="Cambria" w:hAnsi="Cambria" w:eastAsia="Times New Roman" w:cs="Times New Roman"/>
      <w:b/>
      <w:bCs/>
      <w:color w:val="4F81BD"/>
      <w:sz w:val="26"/>
      <w:szCs w:val="26"/>
    </w:rPr>
  </w:style>
  <w:style w:type="character" w:styleId="ListParagraphChar">
    <w:name w:val="List Paragraph Char"/>
    <w:qFormat/>
    <w:rPr>
      <w:rFonts w:cs="Arial"/>
    </w:rPr>
  </w:style>
  <w:style w:type="character" w:styleId="WW-InternetLink">
    <w:name w:val="WW-Internet Link"/>
    <w:qFormat/>
    <w:rPr>
      <w:color w:val="000080"/>
      <w:u w:val="single"/>
    </w:rPr>
  </w:style>
  <w:style w:type="character" w:styleId="HTMLPreformattedChar">
    <w:name w:val="HTML Preformatted Char"/>
    <w:qFormat/>
    <w:rPr>
      <w:rFonts w:ascii="Courier New" w:hAnsi="Courier New" w:cs="Courier New"/>
      <w:lang w:val="en-US"/>
    </w:rPr>
  </w:style>
  <w:style w:type="character" w:styleId="BodyTextIndentChar">
    <w:name w:val="Body Text Indent Char"/>
    <w:qFormat/>
    <w:rPr>
      <w:rFonts w:cs="Arial"/>
      <w:sz w:val="22"/>
      <w:szCs w:val="22"/>
    </w:rPr>
  </w:style>
  <w:style w:type="character" w:styleId="DefaultChar">
    <w:name w:val="Default Char"/>
    <w:qFormat/>
    <w:rPr>
      <w:rFonts w:ascii="Times New Roman" w:hAnsi="Times New Roman" w:cs="Times New Roman"/>
      <w:color w:val="000000"/>
      <w:sz w:val="24"/>
      <w:szCs w:val="24"/>
      <w:lang w:val="en-US" w:bidi="ar-SA"/>
    </w:rPr>
  </w:style>
  <w:style w:type="character" w:styleId="TextChar1">
    <w:name w:val="Text Char1"/>
    <w:qFormat/>
    <w:rPr>
      <w:rFonts w:ascii="Times New Roman" w:hAnsi="Times New Roman" w:eastAsia="MS Mincho;ＭＳ 明朝" w:cs="Times New Roman"/>
      <w:lang w:val="en-US"/>
    </w:rPr>
  </w:style>
  <w:style w:type="character" w:styleId="PageNumber">
    <w:name w:val="Page Number"/>
    <w:basedOn w:val="DefaultParagraphFont"/>
    <w:rPr/>
  </w:style>
  <w:style w:type="character" w:styleId="UnresolvedMention">
    <w:name w:val="Unresolved Mention"/>
    <w:qFormat/>
    <w:rPr>
      <w:color w:val="605E5C"/>
      <w:shd w:fill="E1DFDD" w:val="clear"/>
    </w:rPr>
  </w:style>
  <w:style w:type="character" w:styleId="FollowedHyperlink">
    <w:name w:val="FollowedHyperlink"/>
    <w:rPr>
      <w:color w:val="954F72"/>
      <w:u w:val="single"/>
    </w:rPr>
  </w:style>
  <w:style w:type="paragraph" w:styleId="Heading">
    <w:name w:val="Heading"/>
    <w:basedOn w:val="Normal"/>
    <w:next w:val="BodyText"/>
    <w:qFormat/>
    <w:pPr>
      <w:spacing w:lineRule="auto" w:line="480" w:before="0" w:after="0"/>
      <w:jc w:val="center"/>
    </w:pPr>
    <w:rPr>
      <w:rFonts w:ascii="Times New Roman" w:hAnsi="Times New Roman" w:cs="Times New Roman"/>
      <w:b/>
      <w:sz w:val="24"/>
      <w:szCs w:val="20"/>
      <w:lang w:val="en-US"/>
    </w:rPr>
  </w:style>
  <w:style w:type="paragraph" w:styleId="BodyText">
    <w:name w:val="Body Text"/>
    <w:basedOn w:val="Normal"/>
    <w:pPr>
      <w:spacing w:lineRule="auto" w:line="240" w:before="0" w:after="0"/>
      <w:jc w:val="both"/>
    </w:pPr>
    <w:rPr>
      <w:rFonts w:ascii="Times New Roman" w:hAnsi="Times New Roman" w:cs="Times New Roman"/>
      <w:sz w:val="24"/>
      <w:szCs w:val="20"/>
      <w:lang w:val="en-US"/>
    </w:rPr>
  </w:style>
  <w:style w:type="paragraph" w:styleId="List">
    <w:name w:val="List"/>
    <w:basedOn w:val="BodyText"/>
    <w:pPr/>
    <w:rPr>
      <w:rFonts w:cs="FreeSans"/>
    </w:rPr>
  </w:style>
  <w:style w:type="paragraph" w:styleId="Caption">
    <w:name w:val="Caption"/>
    <w:basedOn w:val="Normal"/>
    <w:next w:val="Normal"/>
    <w:qFormat/>
    <w:pPr>
      <w:spacing w:lineRule="auto" w:line="240"/>
      <w:ind w:firstLine="567" w:start="0" w:end="0"/>
      <w:jc w:val="both"/>
    </w:pPr>
    <w:rPr>
      <w:rFonts w:ascii="Times New Roman" w:hAnsi="Times New Roman" w:eastAsia="Calibri" w:cs="Times New Roman"/>
      <w:i/>
      <w:iCs/>
      <w:color w:val="44546A"/>
      <w:sz w:val="18"/>
      <w:szCs w:val="18"/>
      <w:lang w:val="en-US"/>
    </w:rPr>
  </w:style>
  <w:style w:type="paragraph" w:styleId="Index">
    <w:name w:val="Index"/>
    <w:basedOn w:val="Normal"/>
    <w:qFormat/>
    <w:pPr>
      <w:suppressLineNumbers/>
    </w:pPr>
    <w:rPr>
      <w:rFonts w:cs="FreeSans"/>
    </w:rPr>
  </w:style>
  <w:style w:type="paragraph" w:styleId="BalloonText">
    <w:name w:val="Balloon Text"/>
    <w:basedOn w:val="Normal"/>
    <w:qFormat/>
    <w:pPr>
      <w:spacing w:lineRule="auto" w:line="240" w:before="0" w:after="0"/>
    </w:pPr>
    <w:rPr>
      <w:rFonts w:ascii="Tahoma" w:hAnsi="Tahoma" w:cs="Times New Roman"/>
      <w:sz w:val="16"/>
      <w:szCs w:val="16"/>
      <w:lang w:val="en-US"/>
    </w:rPr>
  </w:style>
  <w:style w:type="paragraph" w:styleId="CommentText">
    <w:name w:val="Comment Text"/>
    <w:basedOn w:val="Normal"/>
    <w:qFormat/>
    <w:pPr>
      <w:spacing w:lineRule="auto" w:line="240"/>
    </w:pPr>
    <w:rPr>
      <w:rFonts w:cs="Times New Roman"/>
      <w:sz w:val="20"/>
      <w:szCs w:val="20"/>
      <w:lang w:val="en-US"/>
    </w:rPr>
  </w:style>
  <w:style w:type="paragraph" w:styleId="CommentSubject">
    <w:name w:val="Comment Subject"/>
    <w:basedOn w:val="CommentText"/>
    <w:next w:val="CommentText"/>
    <w:qFormat/>
    <w:pPr/>
    <w:rPr>
      <w:b/>
      <w:bCs/>
    </w:rPr>
  </w:style>
  <w:style w:type="paragraph" w:styleId="ListParagraph">
    <w:name w:val="List Paragraph"/>
    <w:basedOn w:val="Normal"/>
    <w:qFormat/>
    <w:pPr>
      <w:spacing w:before="0" w:after="200"/>
      <w:ind w:hanging="0" w:start="720" w:end="0"/>
      <w:contextualSpacing/>
    </w:pPr>
    <w:rPr>
      <w:rFonts w:cs="Times New Roman"/>
      <w:sz w:val="20"/>
      <w:szCs w:val="20"/>
      <w:lang w:val="en-U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spacing w:lineRule="auto" w:line="240" w:before="0" w:after="0"/>
    </w:pPr>
    <w:rPr>
      <w:rFonts w:cs="Times New Roman"/>
      <w:sz w:val="20"/>
      <w:szCs w:val="20"/>
      <w:lang w:val="en-US"/>
    </w:rPr>
  </w:style>
  <w:style w:type="paragraph" w:styleId="Footer">
    <w:name w:val="Footer"/>
    <w:basedOn w:val="Normal"/>
    <w:pPr>
      <w:spacing w:lineRule="auto" w:line="240" w:before="0" w:after="0"/>
    </w:pPr>
    <w:rPr>
      <w:rFonts w:cs="Times New Roman"/>
      <w:sz w:val="20"/>
      <w:szCs w:val="20"/>
      <w:lang w:val="en-US"/>
    </w:rPr>
  </w:style>
  <w:style w:type="paragraph" w:styleId="FootnoteText">
    <w:name w:val="Footnote Text"/>
    <w:basedOn w:val="Normal"/>
    <w:pPr>
      <w:spacing w:lineRule="auto" w:line="240" w:before="0" w:after="0"/>
    </w:pPr>
    <w:rPr>
      <w:rFonts w:cs="Times New Roman"/>
      <w:sz w:val="20"/>
      <w:szCs w:val="20"/>
      <w:lang w:val="en-US"/>
    </w:rPr>
  </w:style>
  <w:style w:type="paragraph" w:styleId="Bibliography">
    <w:name w:val="Bibliography"/>
    <w:basedOn w:val="Normal"/>
    <w:next w:val="Normal"/>
    <w:qFormat/>
    <w:pPr/>
    <w:rPr/>
  </w:style>
  <w:style w:type="paragraph" w:styleId="NoSpacing">
    <w:name w:val="No Spacing"/>
    <w:qFormat/>
    <w:pPr>
      <w:widowControl/>
      <w:bidi w:val="0"/>
    </w:pPr>
    <w:rPr>
      <w:rFonts w:ascii="Calibri" w:hAnsi="Calibri" w:eastAsia="Times New Roman" w:cs="Times New Roman"/>
      <w:color w:val="auto"/>
      <w:sz w:val="22"/>
      <w:szCs w:val="22"/>
      <w:lang w:val="id-ID" w:bidi="ar-SA" w:eastAsia="zh-CN"/>
    </w:rPr>
  </w:style>
  <w:style w:type="paragraph" w:styleId="JurnalHeading1">
    <w:name w:val="Jurnal Heading 1"/>
    <w:basedOn w:val="Normal"/>
    <w:qFormat/>
    <w:pPr>
      <w:widowControl w:val="false"/>
      <w:suppressAutoHyphens w:val="true"/>
      <w:spacing w:lineRule="auto" w:line="240" w:before="0" w:after="0"/>
      <w:jc w:val="both"/>
    </w:pPr>
    <w:rPr>
      <w:rFonts w:ascii="Times New Roman" w:hAnsi="Times New Roman" w:eastAsia="Arial Unicode MS" w:cs="Times New Roman"/>
      <w:b/>
      <w:kern w:val="2"/>
      <w:sz w:val="20"/>
      <w:szCs w:val="20"/>
      <w:lang w:val="sv-SE"/>
    </w:rPr>
  </w:style>
  <w:style w:type="paragraph" w:styleId="referensi">
    <w:name w:val="referensi"/>
    <w:basedOn w:val="Normal"/>
    <w:qFormat/>
    <w:pPr>
      <w:widowControl w:val="false"/>
      <w:suppressAutoHyphens w:val="true"/>
      <w:spacing w:lineRule="auto" w:line="240" w:before="0" w:after="0"/>
      <w:jc w:val="both"/>
    </w:pPr>
    <w:rPr>
      <w:rFonts w:ascii="Times New Roman" w:hAnsi="Times New Roman" w:eastAsia="Arial Unicode MS" w:cs="Times New Roman"/>
      <w:b/>
      <w:kern w:val="2"/>
      <w:sz w:val="20"/>
      <w:szCs w:val="20"/>
      <w:lang w:val="sv-SE"/>
    </w:rPr>
  </w:style>
  <w:style w:type="paragraph" w:styleId="BodyText2">
    <w:name w:val="Body Text 2"/>
    <w:basedOn w:val="Normal"/>
    <w:qFormat/>
    <w:pPr>
      <w:spacing w:lineRule="auto" w:line="480" w:before="0" w:after="0"/>
      <w:jc w:val="both"/>
    </w:pPr>
    <w:rPr>
      <w:rFonts w:ascii="Times New Roman" w:hAnsi="Times New Roman" w:cs="Times New Roman"/>
      <w:sz w:val="24"/>
      <w:szCs w:val="20"/>
      <w:lang w:val="en-US"/>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TableContents">
    <w:name w:val="Table Contents"/>
    <w:basedOn w:val="Normal"/>
    <w:qFormat/>
    <w:pPr>
      <w:suppressLineNumbers/>
      <w:spacing w:lineRule="auto" w:line="240" w:before="0" w:after="0"/>
      <w:jc w:val="both"/>
    </w:pPr>
    <w:rPr>
      <w:rFonts w:ascii="Liberation Serif;Times New Roman" w:hAnsi="Liberation Serif;Times New Roman" w:eastAsia="Noto Serif CJK SC;Times New Roman" w:cs="Lohit Devanagari;Times New Roman"/>
      <w:kern w:val="2"/>
      <w:sz w:val="20"/>
      <w:szCs w:val="20"/>
      <w:lang w:val="en-US" w:eastAsia="zh-CN" w:bidi="hi-IN"/>
    </w:rPr>
  </w:style>
  <w:style w:type="paragraph" w:styleId="TableTitle">
    <w:name w:val="Table Title"/>
    <w:basedOn w:val="Normal"/>
    <w:qFormat/>
    <w:pPr>
      <w:spacing w:lineRule="auto" w:line="240" w:before="0" w:after="0"/>
      <w:jc w:val="center"/>
    </w:pPr>
    <w:rPr>
      <w:rFonts w:ascii="Liberation Serif;Times New Roman" w:hAnsi="Liberation Serif;Times New Roman" w:eastAsia="MS Mincho;ＭＳ 明朝" w:cs="Lohit Devanagari;Times New Roman"/>
      <w:smallCaps/>
      <w:sz w:val="16"/>
      <w:szCs w:val="16"/>
      <w:lang w:val="en-US" w:eastAsia="zh-CN" w:bidi="hi-IN"/>
    </w:rPr>
  </w:style>
  <w:style w:type="paragraph" w:styleId="HTMLPreformatted">
    <w:name w:val="HTML Preformatted"/>
    <w:basedOn w:val="Normal"/>
    <w:qFormat/>
    <w:pPr>
      <w:spacing w:lineRule="auto" w:line="240" w:before="0" w:after="0"/>
    </w:pPr>
    <w:rPr>
      <w:rFonts w:ascii="Courier New" w:hAnsi="Courier New" w:cs="Courier New"/>
      <w:sz w:val="20"/>
      <w:szCs w:val="20"/>
      <w:lang w:val="en-US"/>
    </w:rPr>
  </w:style>
  <w:style w:type="paragraph" w:styleId="BodyTextIndent">
    <w:name w:val="Body Text Indent"/>
    <w:basedOn w:val="Normal"/>
    <w:pPr>
      <w:spacing w:before="0" w:after="120"/>
      <w:ind w:hanging="0" w:start="283" w:end="0"/>
    </w:pPr>
    <w:rPr/>
  </w:style>
  <w:style w:type="paragraph" w:styleId="TableParagraph">
    <w:name w:val="Table Paragraph"/>
    <w:basedOn w:val="Normal"/>
    <w:qFormat/>
    <w:pPr>
      <w:widowControl w:val="false"/>
      <w:autoSpaceDE w:val="false"/>
      <w:spacing w:lineRule="exact" w:line="215" w:before="115" w:after="0"/>
      <w:ind w:hanging="0" w:start="105" w:end="0"/>
    </w:pPr>
    <w:rPr>
      <w:rFonts w:ascii="Times New Roman" w:hAnsi="Times New Roman" w:cs="Times New Roman"/>
      <w:lang w:val="en-US" w:bidi="en-US"/>
    </w:rPr>
  </w:style>
  <w:style w:type="paragraph" w:styleId="NormalWeb">
    <w:name w:val="Normal (Web)"/>
    <w:basedOn w:val="Normal"/>
    <w:qFormat/>
    <w:pPr>
      <w:spacing w:lineRule="auto" w:line="240" w:before="280" w:after="280"/>
    </w:pPr>
    <w:rPr>
      <w:rFonts w:ascii="Times New Roman" w:hAnsi="Times New Roman" w:cs="Times New Roman"/>
      <w:sz w:val="24"/>
      <w:szCs w:val="24"/>
    </w:rPr>
  </w:style>
  <w:style w:type="paragraph" w:styleId="Text">
    <w:name w:val="Text"/>
    <w:basedOn w:val="Normal"/>
    <w:qFormat/>
    <w:pPr>
      <w:widowControl w:val="false"/>
      <w:suppressAutoHyphens w:val="true"/>
      <w:autoSpaceDE w:val="false"/>
      <w:spacing w:lineRule="auto" w:line="252" w:before="0" w:after="0"/>
      <w:ind w:firstLine="202" w:start="0" w:end="0"/>
      <w:jc w:val="both"/>
    </w:pPr>
    <w:rPr>
      <w:rFonts w:ascii="Times New Roman" w:hAnsi="Times New Roman" w:eastAsia="MS Mincho;ＭＳ 明朝" w:cs="Times New Roman"/>
      <w:sz w:val="20"/>
      <w:szCs w:val="20"/>
      <w:lang w:val="en-US"/>
    </w:rPr>
  </w:style>
  <w:style w:type="paragraph" w:styleId="TableHeading">
    <w:name w:val="Table Heading"/>
    <w:basedOn w:val="TableContents"/>
    <w:qFormat/>
    <w:pPr>
      <w:suppressLineNumbers/>
      <w:jc w:val="center"/>
    </w:pPr>
    <w:rPr>
      <w:b/>
      <w:bCs/>
    </w:rPr>
  </w:style>
  <w:style w:type="paragraph" w:styleId="HeaderLeft">
    <w:name w:val="Header Left"/>
    <w:basedOn w:val="Header"/>
    <w:qFormat/>
    <w:pPr>
      <w:suppressLineNumbers/>
      <w:tabs>
        <w:tab w:val="clear" w:pos="720"/>
        <w:tab w:val="center" w:pos="4393" w:leader="none"/>
        <w:tab w:val="right" w:pos="8787" w:leader="none"/>
      </w:tabs>
    </w:pPr>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hyperlink" Target="http://ejournal.uika-bogor.ac.id/index.php/INOVA-TIF/index" TargetMode="External"/><Relationship Id="rId3" Type="http://schemas.openxmlformats.org/officeDocument/2006/relationships/hyperlink" Target="http://issn.pdii.lipi.go.id/issn.cgi?daftar&amp;1538030021" TargetMode="External"/><Relationship Id="rId4" Type="http://schemas.openxmlformats.org/officeDocument/2006/relationships/hyperlink" Target="http://issn.pdii.lipi.go.id/issn.cgi?daftar&amp;1538029821" TargetMode="External"/><Relationship Id="rId5" Type="http://schemas.openxmlformats.org/officeDocument/2006/relationships/hyperlink" Target="http://doi.org/10.32832/inovatif" TargetMode="External"/><Relationship Id="rId6" Type="http://schemas.openxmlformats.org/officeDocument/2006/relationships/hyperlink" Target="https://uika-bogor.ac.id/" TargetMode="Externa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2022-04-02T15:03:00Z</dcterms:created>
  <dc:creator>Humala</dc:creator>
  <dc:description/>
  <cp:keywords/>
  <dc:language>en-US</dc:language>
  <cp:lastModifiedBy>LPPM</cp:lastModifiedBy>
  <cp:lastPrinted>2020-05-28T20:46:00Z</cp:lastPrinted>
  <dcterms:modified xsi:type="dcterms:W3CDTF">2022-04-02T15:03:00Z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