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 Suplemen – Deteksi Anomali Hibrida pada Data PKB SAMSAT Banten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0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ablasi_fit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S1: Ablasi kontribusi fitur berbasis domain terhadap PR-AUC (5 ulangan)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05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kurva_ROC_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S2: Kurva ROC dan precision–recall (ulangan pertama)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83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distribusi_sk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S3: Distribusi skor AE dan IF: normal vs tipe anomali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16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sensitivi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S4: Analisis sensitivitas hiperparameter dan strategi fusi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94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skor_kualitas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S5: Kartu skor kualitas data per dimensi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977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nilai_pkb_per_jen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S6: Nilai PKB per jenis kendaraan dan batas R09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77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matriks_kode_mutas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S7: Matriks kode permohonan × mutasi (setelah harmonisasi)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210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proyeksi_P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S8: Proyeksi PCA ruang fitur dengan kategori temuan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91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waktu_komputas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S9: Waktu komputasi rata-rata</w:t>
      </w:r>
    </w:p>
    <w:p>
      <w:pPr>
        <w:jc w:val="center"/>
      </w:pPr>
      <w:r>
        <w:t>Tabel S1: Uji Wilcoxon (Hibrida vs pembanding, PR-AUC) dan Friedman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sz w:val="15"/>
              </w:rPr>
              <w:t>pembanding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selisih_PR_AUC_rerata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W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p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menang/seri/kalah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p_holm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Friedman_chi2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Friedman_p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Aturan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0.1564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0.7954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0.8401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0.1108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0.2251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0.00195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10/0/0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0.00977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5"/>
              </w:rPr>
              <w:t>0</w:t>
            </w:r>
          </w:p>
        </w:tc>
      </w:tr>
    </w:tbl>
    <w:p/>
    <w:p>
      <w:pPr>
        <w:jc w:val="center"/>
      </w:pPr>
      <w:r>
        <w:t>Tabel S2: Analisis sensitivitas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5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nilai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metode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PR_AUC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PR_AUC_hibrida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0.1683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0.9791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0.1494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0.9805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0.1364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0.1263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0.9819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LOF n_neighbors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LOF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0.1706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0.9642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IF n_estimators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0.1723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0.9804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IF n_estimators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0.1703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0.9798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IF n_estimators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0.1766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IF n_estimators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IF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0.1801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AE arsitektur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32-4-32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0.8191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0.9666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AE arsitektur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32-8-32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0.8822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AE arsitektur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32-12-32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0.8951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0.9813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AE arsitektur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64-16-64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AE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0.9522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0.9893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Ukuran data latih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0.6916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0.9646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Ukuran data latih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10000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0.6183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0.9626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Ukuran data latih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20000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0.7024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0.9701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Ukuran data latih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40000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0.7895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Strategi fusi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max persentil (dipakai)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0.7895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0.98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Strategi fusi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rerata persentil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Ensemble ML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0.5563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0.9479</w:t>
            </w:r>
          </w:p>
        </w:tc>
      </w:tr>
    </w:tbl>
    <w:p/>
    <w:p>
      <w:pPr>
        <w:jc w:val="center"/>
      </w:pPr>
      <w:r>
        <w:t>Tabel S3: Pergeseran kode per atribut dan tahun (JSD)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5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tahun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JSD_mentah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JSD_harmonisasi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kode_baru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kode_hilang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kd_status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kd_status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kd_status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kd_status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5,6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3,4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kd_jen_mohon|kd_jen_mutasi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1|2,2|1,2|NA,3|1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kd_jen_mohon|kd_jen_mutasi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2|1,2|NA,3|1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1|2,2|9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kd_jen_mohon|kd_jen_mutasi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2|1,2|9,2|NA,3|1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kd_jen_mohon|kd_jen_mutasi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0.1886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2|2,2|5,2|6,2|7,3|3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1|1,1|2,1|4,1|5,1|6,1|7,1|9,2|NA,3|1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kd_jenis_kb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304,428,527,580,703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308,335,410,416,424,429,433,441,443,504,512,526,551,557,566,567,579,583,586,587,704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kd_jenis_kb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308,504,526,587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304,410,416,424,428,443,512,527,534,565,566,567,580,583,586,703,704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kd_jenis_kb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410,416,424,443,512,566,567,583,586,704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304,308,428,504,510,526,527,580,587,703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kd_jenis_kb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439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304,308,428,433,510,512,526,527,534,566,583,587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kd_lokasi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0.0043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kd_lokasi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kd_lokasi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kd_lokasi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kd_dati2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0.0025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kd_dati2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kd_dati2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kd_dati2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-</w:t>
            </w:r>
          </w:p>
        </w:tc>
      </w:tr>
    </w:tbl>
    <w:p/>
    <w:p>
      <w:pPr>
        <w:jc w:val="center"/>
      </w:pPr>
      <w:r>
        <w:t>Tabel S4: Profil pasangan kode permohonan–mutasi (2021–2023)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5"/>
              </w:rPr>
              <w:t>kd_jen_mohon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pair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bbn_rate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share_in_mohon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1|NA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80679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0.7439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24621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0.227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1587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0.01463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1474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0.01359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0.0005072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0.000166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0.0001107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1.844e-05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2765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0.9989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2|NA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0.0007225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0.0003613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3|NA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21656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0.997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4.617e-05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langka/tidak konsisten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0.8973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233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0.1027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2485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0.6414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0.8837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0.1163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7|2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2378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0.6029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7|1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1566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0.3971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8|NA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0.25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lazim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