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0 (Apache licensed) using ORACLE_JRE JAXB in Oracle Java 1.8.0_231 on Windows 10 -->
    <w:p>
      <w:pPr>
        <w:spacing w:after="269"/>
        <w:ind w:left="0"/>
        <w:jc w:val="left"/>
      </w:pPr>
    </w:p>
    <w:p>
      <w:pPr>
        <w:spacing w:after="161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Общая информация</w:t>
      </w:r>
    </w:p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534"/>
        <w:gridCol w:w="6569"/>
      </w:tblGrid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Ссылка на эпик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Ссылка на репозитарий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https://github.com/mbuyakov/EFP.RSRV.021101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https://github.com/mbuyakov/EFP.RSRV.000241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6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https://github.com/mbuyakov/EFP.RSRV.065801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7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https://github.com/mbuyakov/EFP.RSRV.065701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8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https://github.com/mbuyakov/EFP.RSRV.065501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9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https://github.com/mbuyakov/EFP.RSRV.065601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0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https://github.com/mbuyakov/EFP.RSRV.029401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1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https://github.com/mbuyakov/EFP.RSRV.026701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2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https://github.com/mbuyakov/EFP.RSRV.021001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3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https://github.com/mbuyakov/EFP.RSRV.029301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4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https://github.com/mbuyakov/EFP.RSRV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5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https://github.com/mbuyakov/ETP.RIN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6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https://github.com/mbuyakov/ETP.RIN_TRSH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hyperlink r:id="rId17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https://github.com/mbuyakov/ETP.MGN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Ссылка на документы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  <w:hyperlink r:id="rId18">
              <w:r>
                <w:rPr>
                  <w:rStyle w:val="Hyperlink"/>
                  <w:rFonts w:ascii="Times New Roman" w:hAnsi="Times New Roman"/>
                  <w:b w:val="false"/>
                  <w:i w:val="false"/>
                  <w:color w:val="0000ff"/>
                  <w:sz w:val="22"/>
                  <w:u w:val="single"/>
                </w:rPr>
                <w:t>http://seafile.sm-soft.ru/d/f0f3151682b24ebdb22d/</w:t>
              </w:r>
            </w:hyperlink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Дата готовности к отладке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Дата ИТ (тестовый стенд)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Дата передачи релиза в предпрод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14.10.20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Дата вывода в прод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04.12.2020</w:t>
            </w: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Аналитик по задаче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15"/>
              <w:jc w:val="left"/>
            </w:pPr>
          </w:p>
        </w:tc>
      </w:tr>
      <w:tr>
        <w:trPr>
          <w:trHeight w:val="30" w:hRule="atLeast"/>
        </w:trPr>
        <w:tc>
          <w:tcPr>
            <w:tcW w:w="534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Разработчик по задаче</w:t>
            </w:r>
          </w:p>
        </w:tc>
        <w:tc>
          <w:tcPr>
            <w:tcW w:w="656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</w:p>
        </w:tc>
      </w:tr>
    </w:tbl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rPr>
          <w:rFonts w:ascii="Times New Roman" w:hAnsi="Times New Roman"/>
          <w:b/>
          <w:i w:val="false"/>
          <w:color w:val="000000"/>
          <w:sz w:val="22"/>
        </w:rPr>
        <w:t>
			</w:t>
      </w:r>
      <w:r>
        <w:br/>
      </w:r>
      <w:r>
        <w:rPr>
          <w:rFonts w:ascii="Times New Roman" w:hAnsi="Times New Roman"/>
          <w:b/>
          <w:i w:val="false"/>
          <w:color w:val="000000"/>
          <w:sz w:val="22"/>
        </w:rPr>
        <w:t>
		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61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Описание бизнеса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Модернизация старых услуг МПГУ. Цель модернизации: изменение логик и статусов, и переход на ЕФП.;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Бизнес-суть всех ГУ - подача заявлений на получение: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разрешение на ввод объекта в эксплуатацию;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разрешение на строительство объекта;</w:t>
      </w:r>
    </w:p>
    <w:p>
      <w:pPr>
        <w:numPr>
          <w:ilvl w:val="0"/>
          <w:numId w:val="3"/>
        </w:numPr>
        <w:spacing w:after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внесение изменений в разрешение на строительство объекта.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Сейчас реализовано несколько проектов в мнемониками RINx.</w:t>
      </w:r>
    </w:p>
    <w:p>
      <w:pPr>
        <w:spacing w:after="180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Список услуг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Выдача разрешения на ввод объекта в эксплуатацию (РВ):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021001 Выдача разрешения на ввод объекта в эксплуатацию Комитетом государственного строительного надзора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029301 Выдача разрешения на ввод объекта в эксплуатацию Департаментом культурного наследия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026701 Выдача разрешения на ввод объекта в эксплуатацию Департаментом природопользования и охраны окружающей среды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065601 Выдача разрешения на ввод объекта в эксплуатацию администрацией городского округа Троицк в городе Москве;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065801 Выдача разрешения на ввод объекта в эксплуатацию администрацией городского округа Щербинка в городе Москве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;Выдача разрешения на строительство / внесение изменений в разрешение на строительство (РС):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021101 Выдача разрешения на строительство / внесение изменений в разрешение на строительство Комитетом государственного строительного надзора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029401 Выдача разрешения на строительство / внесение изменений в разрешение на строительство Департаментом культурного наследия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000241 Выдача разрешения на строительство / внесение изменений в разрешение на строительство Департаментом природопользования и охраны окружающей среды города Москвы;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065501 Выдача разрешения на строительство / внесение изменений в разрешение на строительство администрацией городского округа Троицк в городе Москве;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065701 Выдача разрешения на строительство / внесение изменений в разрешение на строительство администрацией городского округа Щербинка в городе Москве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80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Очереди</w:t>
      </w:r>
    </w:p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40"/>
        <w:gridCol w:w="4080"/>
      </w:tblGrid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021001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RIN2.ETP.REQUEST_V61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021101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RIN2.ETP.REQUEST_V61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000241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RIN_DP.ETP.REQUEST_V61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026701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RIN_DP.ETP.REQUEST_V61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065501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RIN_TR.ETP.REQUEST_V61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065601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RIN_TR.ETP.REQUEST_V61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065701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RIN_SH.ETP.REQUEST_V61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065801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RIN_SH.ETP.REQUEST_V61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029301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MGN.ETP.REQUEST_V61</w:t>
            </w:r>
          </w:p>
        </w:tc>
      </w:tr>
      <w:tr>
        <w:trPr>
          <w:trHeight w:val="30" w:hRule="atLeast"/>
        </w:trPr>
        <w:tc>
          <w:tcPr>
            <w:tcW w:w="104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029401</w:t>
            </w:r>
          </w:p>
        </w:tc>
        <w:tc>
          <w:tcPr>
            <w:tcW w:w="4080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0"/>
              <w:ind w:left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MGN.ETP.REQUEST_V61</w:t>
            </w:r>
          </w:p>
        </w:tc>
      </w:tr>
    </w:tbl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61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Описание архитектуры</w:t>
      </w:r>
    </w:p>
    <w:p>
      <w:pPr>
        <w:spacing w:after="180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Сводные сведения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rPr>
          <w:rFonts w:ascii="Times New Roman" w:hAnsi="Times New Roman"/>
          <w:b/>
          <w:i w:val="false"/>
          <w:color w:val="000000"/>
          <w:sz w:val="22"/>
        </w:rPr>
        <w:t>
			</w:t>
      </w:r>
      <w:r>
        <w:br/>
      </w:r>
      <w:r>
        <w:rPr>
          <w:rFonts w:ascii="Times New Roman" w:hAnsi="Times New Roman"/>
          <w:b/>
          <w:i w:val="false"/>
          <w:color w:val="000000"/>
          <w:sz w:val="22"/>
        </w:rPr>
        <w:t>
		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tbl>
      <w:tblPr>
        <w:tblW w:w="0" w:type="auto"/>
        <w:tblCellSpacing w:w="20" w:type="dxa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4668"/>
        <w:gridCol w:w="3219"/>
      </w:tblGrid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0. ИС ОИВ и ее мнемоника для использования в наименованиях очередей/процессов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 w:w="640"/>
              <w:gridCol w:w="827"/>
            </w:tblGrid>
            <w:tr>
              <w:trPr>
                <w:trHeight w:val="30" w:hRule="atLeast"/>
              </w:trPr>
              <w:tc>
                <w:tcPr>
                  <w:tcW w:w="6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/>
                      <w:i w:val="false"/>
                      <w:color w:val="000000"/>
                      <w:sz w:val="22"/>
                    </w:rPr>
                    <w:t>ОИВ</w:t>
                  </w:r>
                </w:p>
              </w:tc>
              <w:tc>
                <w:tcPr>
                  <w:tcW w:w="82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/>
                      <w:i w:val="false"/>
                      <w:color w:val="000000"/>
                      <w:sz w:val="22"/>
                    </w:rPr>
                    <w:t>Мнемоника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6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
									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АИС РиН 2.0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
								</w:t>
                  </w:r>
                </w:p>
              </w:tc>
              <w:tc>
                <w:tcPr>
                  <w:tcW w:w="82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6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
									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АИС МГН</w:t>
                  </w: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
								</w:t>
                  </w:r>
                </w:p>
              </w:tc>
              <w:tc>
                <w:tcPr>
                  <w:tcW w:w="827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MGN</w:t>
                  </w:r>
                </w:p>
              </w:tc>
            </w:tr>
          </w:tbl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tbl>
            <w:tblPr>
              <w:tblW w:w="0" w:type="auto"/>
              <w:tblCellSpacing w:w="20" w:type="dxa"/>
              <w:tblBorders>
                <w:top w:val="none"/>
                <w:left w:val="none"/>
                <w:bottom w:val="none"/>
                <w:right w:val="none"/>
                <w:insideH w:val="none"/>
                <w:insideV w:val="none"/>
              </w:tblBorders>
            </w:tblPr>
            <w:tblGrid>
              <w:gridCol w:w="916"/>
              <w:gridCol w:w="1040"/>
            </w:tblGrid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/>
                      <w:i w:val="false"/>
                      <w:color w:val="000000"/>
                      <w:sz w:val="22"/>
                    </w:rPr>
                    <w:t>Мнемоника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/>
                      <w:i w:val="false"/>
                      <w:color w:val="000000"/>
                      <w:sz w:val="22"/>
                    </w:rPr>
                    <w:t>Код ГУ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mgn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029301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mgn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029401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021001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021101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rin_dp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000241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rin_dp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026701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rin_sh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065701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rin_sh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065801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rin_tr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065501</w:t>
                  </w:r>
                </w:p>
              </w:tc>
            </w:tr>
            <w:tr>
              <w:trPr>
                <w:trHeight w:val="30" w:hRule="atLeast"/>
              </w:trPr>
              <w:tc>
                <w:tcPr>
                  <w:tcW w:w="916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rin_tr</w:t>
                  </w:r>
                </w:p>
              </w:tc>
              <w:tc>
                <w:tcPr>
                  <w:tcW w:w="1040" w:type="dxa"/>
                  <w:tcBorders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>
                  <w:pPr>
                    <w:spacing w:after="0"/>
                    <w:ind w:left="0"/>
                    <w:jc w:val="left"/>
                  </w:pPr>
                  <w:r>
                    <w:rPr>
                      <w:rFonts w:ascii="Times New Roman" w:hAnsi="Times New Roman"/>
                      <w:b w:val="false"/>
                      <w:i w:val="false"/>
                      <w:color w:val="000000"/>
                      <w:sz w:val="22"/>
                    </w:rPr>
                    <w:t>065601</w:t>
                  </w:r>
                </w:p>
              </w:tc>
            </w:tr>
          </w:tbl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3. Тип интеграции (ЕФСП, ЕТП, смешанная)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ЕФСП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4. Системы обработки заявки (ИС ОИВ(ы), АС ГУФ, поставщики сведений (проверки сведений))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;- указать форматы взаимодействия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РиН 2.0 / АИС МГН ; v.6.1 (заявки/статусы)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MQ/JMS, v.6.1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5. Каналы подачи (Мос, МПГУ, АИС МФЦ, АС ГУФ, Мобильное приложение)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указать форматы взаимодействия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МПГУ ; REST/JSON в ЕФСП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rPr>
                <w:rFonts w:ascii="Times New Roman" w:hAnsi="Times New Roman"/>
                <w:b/>
                <w:i w:val="false"/>
                <w:color w:val="000000"/>
                <w:sz w:val="22"/>
              </w:rPr>
              <w:t>В заявке должна уходить ссылка на ПФ!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6. Категории заявителей (ФЛ, ЮЛ, ИП) и требуется ли формирование ЭП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;- алгоритм для расчета хэша (если отличается от стандартного)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ЮЛ и ИП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Требуется ЭП для подписания заявок/статусов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7. Требуется ли формирование ПДФ заявки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приложить шаблон и/или ссылку на макет формы и/или ЧТЗ на форму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 код документа в ЦХЭД и его класс (если отличаются от стандартных)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указать, должен ли ПДФ доставляться в ЕЛК и в каком статусе (чаще 1010)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убедиться, что в схеме заявки для данных, передаваемых кодом по справочнику, есть данные для разименования и приложить схему и пример заявки для всех категорий заявителя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Да, на статусе 1010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8. Требуется ли формирование статусов на стороне ЕТП и каких (чаще 1010)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 - указать код статуса (+ возможно ризенКод)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 - указать наименование статуса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 - указать примечание для ЛК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1010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9. Требуется ли формирование документов-результатов (талон, сертификат ДО, ЕПД,...) -; ПДФ для статусов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указать код(ы) статуса(ов), в которых формируется документ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 ;- приложить шаблон(ы);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указать код документа в ЦХЭД и его класс (если есть требование сохранения в ЦХЭД)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убедиться, что в схеме статуса для данных, передаваемых кодом по справочнику, есть данные для разименования и приложить схему и пример статуса;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;Документ-результат формирует ведомство и размещает в ЦХЭД вместе с ЭП.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Печатное представление PDF с синей меткой необходимо реализовать файлом с сохранением в РЦХЭД для обеспечения последующей выгрузки файла ИС ОИВ.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10. Валидировать требования к статусной модели.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требуется ли модифицировать и как таблицу statusroute или;statusroute_xxx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- если можете, подготовить скрипты создания и/или наполнения таблиц логирования и описания статусов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есть ли доп действия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Файлы 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statusroute лежат по адресу: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!Услуги\КГСН\РС и РВ\2020\Рабочая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;Доп. действие:</w:t>
            </w:r>
          </w:p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Отзыв заявления (10090)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11. Если на форме нужны данные из Кэш ЕТП или непосредственно из ИС ОИВ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 источники (строка подключения, сертификат) на тестовом стенде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 описание получаемых данных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указать описание поставляемых данных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Нет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12. Для услуг ЕФСП: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подготовить XSD схему для подачи заявки/записи черновика/...;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подготовить требования к сервисам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 ; ;- если есть требования к ФЛК описать их, предоставляя xpath к элементам сообщений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!Услуги\КГСН\РС и РВ\2020\Рабочая\XSD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13. Указать, нужна ли регистрация заявки на МПГУ/ЕЛК (если источник заявки не МПГУ, а статусы в ЕЛК доставлять нужно по бизнесу)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;Нет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14. Указать модель информирования (уведомления/оповещения):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ЕТП-МПГУ-ЕМП-ЕЛК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ЕТП-ЕЛК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ЕТП-ЕФП-ПИВ-ЕЛК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numPr>
                <w:ilvl w:val="0"/>
                <w:numId w:val="4"/>
              </w:numPr>
              <w:spacing w:after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РиН-ЕТП-ЕФП-ПИВ-ИС ПК</w:t>
            </w:r>
          </w:p>
          <w:p>
            <w:pPr>
              <w:numPr>
                <w:ilvl w:val="0"/>
                <w:numId w:val="4"/>
              </w:numPr>
              <w:spacing w:after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
							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РиН</w:t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-ЕТП-ЕФП-ПИВ-ЕЛК</w:t>
            </w:r>
          </w:p>
          <w:p>
            <w:pPr>
              <w:numPr>
                <w:ilvl w:val="0"/>
                <w:numId w:val="5"/>
              </w:numPr>
              <w:spacing w:after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МГН-ЕТП-ЕФП-ПИВ-ИС ПК</w:t>
            </w:r>
          </w:p>
          <w:p>
            <w:pPr>
              <w:numPr>
                <w:ilvl w:val="0"/>
                <w:numId w:val="5"/>
              </w:numPr>
              <w:spacing w:after="0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АИС МГН-ЕТП-ЕФП-ПИВ-ЕЛК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15. Является ли услуга Подпиской на уведомления/оповещения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Код уведомления для формирования ЕНО</w:t>
            </w:r>
            <w:r>
              <w:br/>
            </w: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 xml:space="preserve"> ;;; - Нужна ли автоматическая подписка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;Нет</w:t>
            </w:r>
          </w:p>
        </w:tc>
      </w:tr>
      <w:tr>
        <w:trPr>
          <w:trHeight w:val="30" w:hRule="atLeast"/>
        </w:trPr>
        <w:tc>
          <w:tcPr>
            <w:tcW w:w="4668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16. Дать ссылку в SeaFile на АТР, ЧТЗ, XSD, примеры XML, ...;</w:t>
            </w:r>
          </w:p>
        </w:tc>
        <w:tc>
          <w:tcPr>
            <w:tcW w:w="3219" w:type="dxa"/>
            <w:tcBorders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spacing w:after="269"/>
              <w:ind w:left="15"/>
              <w:jc w:val="left"/>
            </w:pPr>
            <w:r>
              <w:rPr>
                <w:rFonts w:ascii="Times New Roman" w:hAnsi="Times New Roman"/>
                <w:b w:val="false"/>
                <w:i w:val="false"/>
                <w:color w:val="000000"/>
                <w:sz w:val="22"/>
              </w:rPr>
              <w:t>ETP\!Услуги\КГСН\РС и РВ\2020</w:t>
            </w:r>
          </w:p>
        </w:tc>
      </w:tr>
    </w:tbl>
    <w:p>
      <w:pPr>
        <w:spacing w:after="199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
		</w:t>
      </w:r>
      <w:r>
        <w:rPr>
          <w:rFonts w:ascii="Times New Roman" w:hAnsi="Times New Roman"/>
          <w:b/>
          <w:i w:val="false"/>
          <w:color w:val="000000"/>
        </w:rPr>
        <w:t>Ссылки на репозитории</w:t>
      </w:r>
      <w:r>
        <w:rPr>
          <w:rFonts w:ascii="Times New Roman" w:hAnsi="Times New Roman"/>
          <w:b/>
          <w:i w:val="false"/>
          <w:color w:val="000000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https://github.com/mbuyakov/EFP.RSRV.021101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https://github.com/mbuyakov/EFP.RSRV.000241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https://github.com/mbuyakov/EFP.RSRV.065801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https://github.com/mbuyakov/EFP.RSRV.065701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https://github.com/mbuyakov/EFP.RSRV.065501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https://github.com/mbuyakov/EFP.RSRV.065601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https://github.com/mbuyakov/EFP.RSRV.029401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https://github.com/mbuyakov/EFP.RSRV.026701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https://github.com/mbuyakov/EFP.RSRV.021001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https://github.com/mbuyakov/EFP.RSRV.029301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2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https://github.com/mbuyakov/EFP.RSRV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3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https://github.com/mbuyakov/ETP.RIN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3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https://github.com/mbuyakov/ETP.RIN_TRSH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3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https://github.com/mbuyakov/ETP.MGN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99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
		</w:t>
      </w:r>
      <w:r>
        <w:br/>
      </w:r>
      <w:r>
        <w:rPr>
          <w:rFonts w:ascii="Times New Roman" w:hAnsi="Times New Roman"/>
          <w:b/>
          <w:i w:val="false"/>
          <w:color w:val="000000"/>
        </w:rPr>
        <w:t>
		</w:t>
      </w:r>
      <w:r>
        <w:rPr>
          <w:rFonts w:ascii="Times New Roman" w:hAnsi="Times New Roman"/>
          <w:b/>
          <w:i w:val="false"/>
          <w:color w:val="000000"/>
        </w:rPr>
        <w:t>Ссылка в Api Store</w:t>
      </w:r>
      <w:r>
        <w:rPr>
          <w:rFonts w:ascii="Times New Roman" w:hAnsi="Times New Roman"/>
          <w:b/>
          <w:i w:val="false"/>
          <w:color w:val="000000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hyperlink r:id="rId3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https://efp6.sm-soft.ru:9443/store/site/pages/list-apis.jag?page=1amp;tag=%D0%A0%D0%A1%20%D0%A0%D0%92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rPr>
          <w:rFonts w:ascii="Times New Roman" w:hAnsi="Times New Roman"/>
          <w:b/>
          <w:i w:val="false"/>
          <w:color w:val="000000"/>
          <w:sz w:val="22"/>
        </w:rPr>
        <w:t>
			</w:t>
      </w:r>
      <w:r>
        <w:br/>
      </w:r>
      <w:r>
        <w:rPr>
          <w:rFonts w:ascii="Times New Roman" w:hAnsi="Times New Roman"/>
          <w:b/>
          <w:i w:val="false"/>
          <w:color w:val="000000"/>
          <w:sz w:val="22"/>
        </w:rPr>
        <w:t>
		</w:t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199"/>
        <w:ind w:left="0"/>
        <w:jc w:val="left"/>
      </w:pPr>
      <w:r>
        <w:rPr>
          <w:rFonts w:ascii="Times New Roman" w:hAnsi="Times New Roman"/>
          <w:b/>
          <w:i w:val="false"/>
          <w:color w:val="000000"/>
        </w:rPr>
        <w:t>
		</w:t>
      </w:r>
      <w:r>
        <w:rPr>
          <w:rFonts w:ascii="Times New Roman" w:hAnsi="Times New Roman"/>
          <w:b/>
          <w:i w:val="false"/>
          <w:color w:val="000000"/>
        </w:rPr>
        <w:t>Краткое описание</w:t>
      </w:r>
      <w:r>
        <w:rPr>
          <w:rFonts w:ascii="Times New Roman" w:hAnsi="Times New Roman"/>
          <w:b/>
          <w:i w:val="false"/>
          <w:color w:val="000000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В данных услугах используется архитектура ЕФП-ЕТП. При вызове REST-сервисов ЕФП происходит следующая обработка запроса: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1) Валидация JSON-запроса;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2) Стандартная валидация WSO2 и СУДИР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3) Вызов EfspSignService. Для ФЛ используется метод convertAndSend, для ЮЛ - createRequest, sendRequest.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p>
      <w:pPr>
        <w:spacing w:after="269"/>
        <w:ind w:left="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
		</w:t>
      </w:r>
      <w:r>
        <w:br/>
      </w:r>
      <w:r>
        <w:rPr>
          <w:rFonts w:ascii="Times New Roman" w:hAnsi="Times New Roman"/>
          <w:b w:val="false"/>
          <w:i w:val="false"/>
          <w:color w:val="000000"/>
          <w:sz w:val="22"/>
        </w:rPr>
        <w:t>
	</w:t>
      </w:r>
    </w:p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4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abstractNum w:abstractNumId="5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github.com/mbuyakov/EFP.RSRV.021101" Type="http://schemas.openxmlformats.org/officeDocument/2006/relationships/hyperlink" Id="rId4"/>
    <Relationship TargetMode="External" Target="https://github.com/mbuyakov/EFP.RSRV.000241" Type="http://schemas.openxmlformats.org/officeDocument/2006/relationships/hyperlink" Id="rId5"/>
    <Relationship TargetMode="External" Target="https://github.com/mbuyakov/EFP.RSRV.065801" Type="http://schemas.openxmlformats.org/officeDocument/2006/relationships/hyperlink" Id="rId6"/>
    <Relationship TargetMode="External" Target="https://github.com/mbuyakov/EFP.RSRV.065701" Type="http://schemas.openxmlformats.org/officeDocument/2006/relationships/hyperlink" Id="rId7"/>
    <Relationship TargetMode="External" Target="https://github.com/mbuyakov/EFP.RSRV.065501" Type="http://schemas.openxmlformats.org/officeDocument/2006/relationships/hyperlink" Id="rId8"/>
    <Relationship TargetMode="External" Target="https://github.com/mbuyakov/EFP.RSRV.065601" Type="http://schemas.openxmlformats.org/officeDocument/2006/relationships/hyperlink" Id="rId9"/>
    <Relationship TargetMode="External" Target="https://github.com/mbuyakov/EFP.RSRV.029401" Type="http://schemas.openxmlformats.org/officeDocument/2006/relationships/hyperlink" Id="rId10"/>
    <Relationship TargetMode="External" Target="https://github.com/mbuyakov/EFP.RSRV.026701" Type="http://schemas.openxmlformats.org/officeDocument/2006/relationships/hyperlink" Id="rId11"/>
    <Relationship TargetMode="External" Target="https://github.com/mbuyakov/EFP.RSRV.021001" Type="http://schemas.openxmlformats.org/officeDocument/2006/relationships/hyperlink" Id="rId12"/>
    <Relationship TargetMode="External" Target="https://github.com/mbuyakov/EFP.RSRV.029301" Type="http://schemas.openxmlformats.org/officeDocument/2006/relationships/hyperlink" Id="rId13"/>
    <Relationship TargetMode="External" Target="https://github.com/mbuyakov/EFP.RSRV" Type="http://schemas.openxmlformats.org/officeDocument/2006/relationships/hyperlink" Id="rId14"/>
    <Relationship TargetMode="External" Target="https://github.com/mbuyakov/ETP.RIN" Type="http://schemas.openxmlformats.org/officeDocument/2006/relationships/hyperlink" Id="rId15"/>
    <Relationship TargetMode="External" Target="https://github.com/mbuyakov/ETP.RIN_TRSH" Type="http://schemas.openxmlformats.org/officeDocument/2006/relationships/hyperlink" Id="rId16"/>
    <Relationship TargetMode="External" Target="https://github.com/mbuyakov/ETP.MGN" Type="http://schemas.openxmlformats.org/officeDocument/2006/relationships/hyperlink" Id="rId17"/>
    <Relationship TargetMode="External" Target="http://seafile.sm-soft.ru/d/f0f3151682b24ebdb22d/" Type="http://schemas.openxmlformats.org/officeDocument/2006/relationships/hyperlink" Id="rId18"/>
    <Relationship TargetMode="External" Target="https://github.com/mbuyakov/EFP.RSRV.021101" Type="http://schemas.openxmlformats.org/officeDocument/2006/relationships/hyperlink" Id="rId19"/>
    <Relationship TargetMode="External" Target="https://github.com/mbuyakov/EFP.RSRV.000241" Type="http://schemas.openxmlformats.org/officeDocument/2006/relationships/hyperlink" Id="rId20"/>
    <Relationship TargetMode="External" Target="https://github.com/mbuyakov/EFP.RSRV.065801" Type="http://schemas.openxmlformats.org/officeDocument/2006/relationships/hyperlink" Id="rId21"/>
    <Relationship TargetMode="External" Target="https://github.com/mbuyakov/EFP.RSRV.065701" Type="http://schemas.openxmlformats.org/officeDocument/2006/relationships/hyperlink" Id="rId22"/>
    <Relationship TargetMode="External" Target="https://github.com/mbuyakov/EFP.RSRV.065501" Type="http://schemas.openxmlformats.org/officeDocument/2006/relationships/hyperlink" Id="rId23"/>
    <Relationship TargetMode="External" Target="https://github.com/mbuyakov/EFP.RSRV.065601" Type="http://schemas.openxmlformats.org/officeDocument/2006/relationships/hyperlink" Id="rId24"/>
    <Relationship TargetMode="External" Target="https://github.com/mbuyakov/EFP.RSRV.029401" Type="http://schemas.openxmlformats.org/officeDocument/2006/relationships/hyperlink" Id="rId25"/>
    <Relationship TargetMode="External" Target="https://github.com/mbuyakov/EFP.RSRV.026701" Type="http://schemas.openxmlformats.org/officeDocument/2006/relationships/hyperlink" Id="rId26"/>
    <Relationship TargetMode="External" Target="https://github.com/mbuyakov/EFP.RSRV.021001" Type="http://schemas.openxmlformats.org/officeDocument/2006/relationships/hyperlink" Id="rId27"/>
    <Relationship TargetMode="External" Target="https://github.com/mbuyakov/EFP.RSRV.029301" Type="http://schemas.openxmlformats.org/officeDocument/2006/relationships/hyperlink" Id="rId28"/>
    <Relationship TargetMode="External" Target="https://github.com/mbuyakov/EFP.RSRV" Type="http://schemas.openxmlformats.org/officeDocument/2006/relationships/hyperlink" Id="rId29"/>
    <Relationship TargetMode="External" Target="https://github.com/mbuyakov/ETP.RIN" Type="http://schemas.openxmlformats.org/officeDocument/2006/relationships/hyperlink" Id="rId30"/>
    <Relationship TargetMode="External" Target="https://github.com/mbuyakov/ETP.RIN_TRSH" Type="http://schemas.openxmlformats.org/officeDocument/2006/relationships/hyperlink" Id="rId31"/>
    <Relationship TargetMode="External" Target="https://github.com/mbuyakov/ETP.MGN" Type="http://schemas.openxmlformats.org/officeDocument/2006/relationships/hyperlink" Id="rId32"/>
    <Relationship TargetMode="External" Target="https://efp6.sm-soft.ru:9443/store/site/pages/list-apis.jag?page=1amp;tag=%D0%A0%D0%A1%20%D0%A0%D0%92" Type="http://schemas.openxmlformats.org/officeDocument/2006/relationships/hyperlink" Id="rId3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