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/>
        <w:t>Especificaciones – Ingeniería del detalle</w:t>
      </w:r>
    </w:p>
    <w:p>
      <w:pPr>
        <w:pStyle w:val="TextBody"/>
        <w:jc w:val="both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2"/>
        <w:gridCol w:w="4854"/>
        <w:gridCol w:w="2686"/>
      </w:tblGrid>
      <w:tr>
        <w:trPr/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Levantamiento de requerimientos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 xml:space="preserve">Listado de los requerimientos y alcances de la implementación (API) </w:t>
            </w:r>
            <w:r>
              <w:rPr/>
              <w:t>especificados por actividad o función.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Documento de especificaciones y requerimientos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>
                <w:rFonts w:ascii="Liberation Sans" w:hAnsi="Liberation Sans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Instalación SandBox localhost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Liberation Sans" w:hAnsi="Liberation Sans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Contar con una plataforma localhost compatible y cercana al servidor de producción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>
                <w:rFonts w:ascii="Liberation Sans" w:hAnsi="Liberation Sans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Server localhost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>
                <w:rFonts w:ascii="Liberation Sans" w:hAnsi="Liberation Sans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Parametrizacion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>
                <w:rFonts w:ascii="Liberation Sans" w:hAnsi="Liberation Sans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Definir los mecanismos y protocolos de comunicación entre las plataformas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>
                <w:rFonts w:ascii="Liberation Sans" w:hAnsi="Liberation Sans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Documento de especificaciones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API Quiz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API que consume recursos  y recupera los quiz del moodle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API RestFull (librería)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API User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API que consume recursos  y recupera los usuarios del moodle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API RestFull (librería)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Integracion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Integrar las implementaciones API con el sistema completo y el API del cliente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Aplicacion funcional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Interfaz API Cliente</w:t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Metodos que el cliente puede consumir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  <w:t>Restricción de seguridad y gestión de error</w:t>
            </w:r>
          </w:p>
        </w:tc>
      </w:tr>
      <w:tr>
        <w:trPr/>
        <w:tc>
          <w:tcPr>
            <w:tcW w:w="24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485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TextBody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LibreOffice/6.1.5.2$Linux_X86_64 LibreOffice_project/10$Build-2</Application>
  <Pages>1</Pages>
  <Words>123</Words>
  <Characters>779</Characters>
  <CharactersWithSpaces>880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2019-05-13T13:44:14Z</dcterms:created>
  <dc:creator/>
  <dc:description/>
  <dc:language>en-US</dc:language>
  <cp:lastModifiedBy/>
  <dcterms:modified xsi:type="dcterms:W3CDTF">2019-05-13T14:28:01Z</dcterms:modified>
  <cp:revision>9</cp:revision>
  <dc:subject/>
  <dc:title/>
</cp:coreProperties>
</file>