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p>
      <w:pPr/>
    </w:p>
    <w:p>
      <w:pPr>
        <w:jc w:val="center"/>
      </w:pPr>
      <w:r>
        <w:rPr>
          <w:rFonts w:ascii="Times New Roman" w:hAnsi="Times New Roman"/>
          <w:b/>
          <w:color w:val="5A5A5A"/>
          <w:sz w:val="28"/>
        </w:rPr>
        <w:t>АКАДЕМИЧЕСКИЙ ОТЧЁТ</w:t>
      </w:r>
    </w:p>
    <w:p>
      <w:pPr>
        <w:spacing w:after="360"/>
        <w:jc w:val="center"/>
      </w:pPr>
      <w:r>
        <w:rPr>
          <w:rFonts w:ascii="Times New Roman" w:hAnsi="Times New Roman"/>
          <w:b/>
          <w:color w:val="1F4E79"/>
          <w:sz w:val="48"/>
        </w:rPr>
        <w:t>Платформа Aither: биллинг, каталог моделей и мультиузловая архитектура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734"/>
        <w:gridCol w:w="4734"/>
      </w:tblGrid>
      <w:tr>
        <w:tc>
          <w:tcPr>
            <w:tcW w:type="dxa" w:w="9128"/>
            <w:gridSpan w:val="2"/>
            <w:shd w:fill="EAF2F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1F4E79"/>
                <w:sz w:val="28"/>
              </w:rPr>
              <w:t>Лабораторная работа №2</w:t>
            </w:r>
          </w:p>
        </w:tc>
      </w:tr>
      <w:tr>
        <w:tc>
          <w:tcPr>
            <w:tcW w:type="dxa" w:w="2608"/>
            <w:shd w:fill="1F4E79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Тема</w:t>
            </w:r>
          </w:p>
        </w:tc>
        <w:tc>
          <w:tcPr>
            <w:tcW w:type="dxa" w:w="6520"/>
            <w:shd w:fill="F6F8FA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rFonts w:ascii="Times New Roman" w:hAnsi="Times New Roman" w:eastAsia="Times New Roman"/>
                <w:sz w:val="22"/>
              </w:rPr>
              <w:t>Билдинг-система, каталог моделей, двухузловой инференс</w:t>
            </w:r>
          </w:p>
        </w:tc>
      </w:tr>
      <w:tr>
        <w:tc>
          <w:tcPr>
            <w:tcW w:type="dxa" w:w="2608"/>
            <w:shd w:fill="1F4E79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Стенд</w:t>
            </w:r>
          </w:p>
        </w:tc>
        <w:tc>
          <w:tcPr>
            <w:tcW w:type="dxa" w:w="6520"/>
            <w:shd w:fill="F6F8FA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rFonts w:ascii="Times New Roman" w:hAnsi="Times New Roman" w:eastAsia="Times New Roman"/>
                <w:sz w:val="22"/>
              </w:rPr>
              <w:t>YADRO VEGMAN S320 × 2, 4× Quadro RTX 6000, K8s 1.33.5</w:t>
            </w:r>
          </w:p>
        </w:tc>
      </w:tr>
      <w:tr>
        <w:tc>
          <w:tcPr>
            <w:tcW w:type="dxa" w:w="2608"/>
            <w:shd w:fill="1F4E79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Дата</w:t>
            </w:r>
          </w:p>
        </w:tc>
        <w:tc>
          <w:tcPr>
            <w:tcW w:type="dxa" w:w="6520"/>
            <w:shd w:fill="F6F8FA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rFonts w:ascii="Times New Roman" w:hAnsi="Times New Roman" w:eastAsia="Times New Roman"/>
                <w:sz w:val="22"/>
              </w:rPr>
              <w:t>08.07.2026</w:t>
            </w:r>
          </w:p>
        </w:tc>
      </w:tr>
      <w:tr>
        <w:tc>
          <w:tcPr>
            <w:tcW w:type="dxa" w:w="2608"/>
            <w:shd w:fill="1F4E79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Автор</w:t>
            </w:r>
          </w:p>
        </w:tc>
        <w:tc>
          <w:tcPr>
            <w:tcW w:type="dxa" w:w="6520"/>
            <w:shd w:fill="F6F8FA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rFonts w:ascii="Times New Roman" w:hAnsi="Times New Roman" w:eastAsia="Times New Roman"/>
                <w:sz w:val="22"/>
              </w:rPr>
              <w:t>Сергей Кравчук, Группа разработки AI-систем, АО «Гринатом»</w:t>
            </w:r>
          </w:p>
        </w:tc>
      </w:tr>
    </w:tbl>
    <w:p>
      <w:pPr/>
    </w:p>
    <w:p>
      <w:pPr>
        <w:jc w:val="center"/>
      </w:pPr>
      <w:r>
        <w:rPr>
          <w:rFonts w:ascii="Times New Roman" w:hAnsi="Times New Roman" w:eastAsia="Times New Roman"/>
          <w:i/>
          <w:color w:val="646464"/>
          <w:sz w:val="20"/>
        </w:rPr>
        <w:t>Документ подготовлен в академическом стиле: структурированные разделы, унифицированные таблицы, оформленные листинги и векторная DOT-схема, отрендеренная в JPG-рисунок.</w:t>
      </w:r>
    </w:p>
    <w:p>
      <w:pPr/>
      <w:r>
        <w:rPr>
          <w:rFonts w:ascii="Times New Roman" w:hAnsi="Times New Roman" w:eastAsia="Times New Roman"/>
        </w:rPr>
        <w:br w:type="page"/>
      </w:r>
    </w:p>
    <w:p>
      <w:pPr>
        <w:pStyle w:val="Heading1"/>
        <w:pBdr>
          <w:bottom w:val="single" w:sz="8" w:space="6" w:color="1F4E79"/>
        </w:pBdr>
        <w:keepNext/>
      </w:pPr>
      <w:r>
        <w:rPr>
          <w:rFonts w:ascii="Times New Roman" w:hAnsi="Times New Roman" w:eastAsia="Times New Roman"/>
        </w:rPr>
        <w:t>Оглавление</w:t>
      </w:r>
    </w:p>
    <w:p>
      <w:pPr>
        <w:spacing w:after="60"/>
        <w:ind w:left="0"/>
      </w:pPr>
      <w:r>
        <w:rPr>
          <w:rFonts w:ascii="Times New Roman" w:hAnsi="Times New Roman"/>
          <w:b/>
          <w:color w:val="1F4E79"/>
          <w:sz w:val="24"/>
        </w:rPr>
        <w:t>1. Введение и цели</w:t>
      </w:r>
    </w:p>
    <w:p>
      <w:pPr>
        <w:spacing w:after="60"/>
        <w:ind w:left="0"/>
      </w:pPr>
      <w:r>
        <w:rPr>
          <w:rFonts w:ascii="Times New Roman" w:hAnsi="Times New Roman"/>
          <w:b/>
          <w:color w:val="1F4E79"/>
          <w:sz w:val="24"/>
        </w:rPr>
        <w:t>2. Архитектура после второго этапа</w:t>
      </w:r>
    </w:p>
    <w:p>
      <w:pPr>
        <w:spacing w:after="60"/>
        <w:ind w:left="340"/>
      </w:pPr>
      <w:r>
        <w:rPr>
          <w:rFonts w:ascii="Times New Roman" w:hAnsi="Times New Roman"/>
          <w:color w:val="1F4E5A"/>
          <w:sz w:val="22"/>
        </w:rPr>
        <w:t>Путь запроса</w:t>
      </w:r>
    </w:p>
    <w:p>
      <w:pPr>
        <w:spacing w:after="60"/>
        <w:ind w:left="340"/>
      </w:pPr>
      <w:r>
        <w:rPr>
          <w:rFonts w:ascii="Times New Roman" w:hAnsi="Times New Roman"/>
          <w:color w:val="1F4E5A"/>
          <w:sz w:val="22"/>
        </w:rPr>
        <w:t>Стек</w:t>
      </w:r>
    </w:p>
    <w:p>
      <w:pPr>
        <w:spacing w:after="60"/>
        <w:ind w:left="0"/>
      </w:pPr>
      <w:r>
        <w:rPr>
          <w:rFonts w:ascii="Times New Roman" w:hAnsi="Times New Roman"/>
          <w:b/>
          <w:color w:val="1F4E79"/>
          <w:sz w:val="24"/>
        </w:rPr>
        <w:t>3. День 8: Биллинг — пополнение баланса через ЮKassa</w:t>
      </w:r>
    </w:p>
    <w:p>
      <w:pPr>
        <w:spacing w:after="60"/>
        <w:ind w:left="340"/>
      </w:pPr>
      <w:r>
        <w:rPr>
          <w:rFonts w:ascii="Times New Roman" w:hAnsi="Times New Roman"/>
          <w:color w:val="1F4E5A"/>
          <w:sz w:val="22"/>
        </w:rPr>
        <w:t>Концепция</w:t>
      </w:r>
    </w:p>
    <w:p>
      <w:pPr>
        <w:spacing w:after="60"/>
        <w:ind w:left="340"/>
      </w:pPr>
      <w:r>
        <w:rPr>
          <w:rFonts w:ascii="Times New Roman" w:hAnsi="Times New Roman"/>
          <w:color w:val="1F4E5A"/>
          <w:sz w:val="22"/>
        </w:rPr>
        <w:t>Реализация</w:t>
      </w:r>
    </w:p>
    <w:p>
      <w:pPr>
        <w:spacing w:after="60"/>
        <w:ind w:left="340"/>
      </w:pPr>
      <w:r>
        <w:rPr>
          <w:rFonts w:ascii="Times New Roman" w:hAnsi="Times New Roman"/>
          <w:color w:val="1F4E5A"/>
          <w:sz w:val="22"/>
        </w:rPr>
        <w:t>Тест</w:t>
      </w:r>
    </w:p>
    <w:p>
      <w:pPr>
        <w:spacing w:after="60"/>
        <w:ind w:left="0"/>
      </w:pPr>
      <w:r>
        <w:rPr>
          <w:rFonts w:ascii="Times New Roman" w:hAnsi="Times New Roman"/>
          <w:b/>
          <w:color w:val="1F4E79"/>
          <w:sz w:val="24"/>
        </w:rPr>
        <w:t>4. День 9: Каталог моделей и балансировка</w:t>
      </w:r>
    </w:p>
    <w:p>
      <w:pPr>
        <w:spacing w:after="60"/>
        <w:ind w:left="340"/>
      </w:pPr>
      <w:r>
        <w:rPr>
          <w:rFonts w:ascii="Times New Roman" w:hAnsi="Times New Roman"/>
          <w:color w:val="1F4E5A"/>
          <w:sz w:val="22"/>
        </w:rPr>
        <w:t>Проблема</w:t>
      </w:r>
    </w:p>
    <w:p>
      <w:pPr>
        <w:spacing w:after="60"/>
        <w:ind w:left="340"/>
      </w:pPr>
      <w:r>
        <w:rPr>
          <w:rFonts w:ascii="Times New Roman" w:hAnsi="Times New Roman"/>
          <w:color w:val="1F4E5A"/>
          <w:sz w:val="22"/>
        </w:rPr>
        <w:t>Решение: YAML-каталог</w:t>
      </w:r>
    </w:p>
    <w:p>
      <w:pPr>
        <w:spacing w:after="60"/>
        <w:ind w:left="340"/>
      </w:pPr>
      <w:r>
        <w:rPr>
          <w:rFonts w:ascii="Times New Roman" w:hAnsi="Times New Roman"/>
          <w:color w:val="1F4E5A"/>
          <w:sz w:val="22"/>
        </w:rPr>
        <w:t>Frontend: динамический список моделей</w:t>
      </w:r>
    </w:p>
    <w:p>
      <w:pPr>
        <w:spacing w:after="60"/>
        <w:ind w:left="0"/>
      </w:pPr>
      <w:r>
        <w:rPr>
          <w:rFonts w:ascii="Times New Roman" w:hAnsi="Times New Roman"/>
          <w:b/>
          <w:color w:val="1F4E79"/>
          <w:sz w:val="24"/>
        </w:rPr>
        <w:t>5. День 10: Второй узел, модель 32B и фиксы портала</w:t>
      </w:r>
    </w:p>
    <w:p>
      <w:pPr>
        <w:spacing w:after="60"/>
        <w:ind w:left="340"/>
      </w:pPr>
      <w:r>
        <w:rPr>
          <w:rFonts w:ascii="Times New Roman" w:hAnsi="Times New Roman"/>
          <w:color w:val="1F4E5A"/>
          <w:sz w:val="22"/>
        </w:rPr>
        <w:t>Восстановление 32B модели</w:t>
      </w:r>
    </w:p>
    <w:p>
      <w:pPr>
        <w:spacing w:after="60"/>
        <w:ind w:left="340"/>
      </w:pPr>
      <w:r>
        <w:rPr>
          <w:rFonts w:ascii="Times New Roman" w:hAnsi="Times New Roman"/>
          <w:color w:val="1F4E5A"/>
          <w:sz w:val="22"/>
        </w:rPr>
        <w:t>Фиксы портала</w:t>
      </w:r>
    </w:p>
    <w:p>
      <w:pPr>
        <w:spacing w:after="60"/>
        <w:ind w:left="0"/>
      </w:pPr>
      <w:r>
        <w:rPr>
          <w:rFonts w:ascii="Times New Roman" w:hAnsi="Times New Roman"/>
          <w:b/>
          <w:color w:val="1F4E79"/>
          <w:sz w:val="24"/>
        </w:rPr>
        <w:t>6. Сравнительный анализ моделей</w:t>
      </w:r>
    </w:p>
    <w:p>
      <w:pPr>
        <w:spacing w:after="60"/>
        <w:ind w:left="340"/>
      </w:pPr>
      <w:r>
        <w:rPr>
          <w:rFonts w:ascii="Times New Roman" w:hAnsi="Times New Roman"/>
          <w:color w:val="1F4E5A"/>
          <w:sz w:val="22"/>
        </w:rPr>
        <w:t>Характеристики</w:t>
      </w:r>
    </w:p>
    <w:p>
      <w:pPr>
        <w:spacing w:after="60"/>
        <w:ind w:left="340"/>
      </w:pPr>
      <w:r>
        <w:rPr>
          <w:rFonts w:ascii="Times New Roman" w:hAnsi="Times New Roman"/>
          <w:color w:val="1F4E5A"/>
          <w:sz w:val="22"/>
        </w:rPr>
        <w:t>Рекомендации по использованию</w:t>
      </w:r>
    </w:p>
    <w:p>
      <w:pPr>
        <w:spacing w:after="60"/>
        <w:ind w:left="340"/>
      </w:pPr>
      <w:r>
        <w:rPr>
          <w:rFonts w:ascii="Times New Roman" w:hAnsi="Times New Roman"/>
          <w:color w:val="1F4E5A"/>
          <w:sz w:val="22"/>
        </w:rPr>
        <w:t>Квантизация GPTQ</w:t>
      </w:r>
    </w:p>
    <w:p>
      <w:pPr>
        <w:spacing w:after="60"/>
        <w:ind w:left="0"/>
      </w:pPr>
      <w:r>
        <w:rPr>
          <w:rFonts w:ascii="Times New Roman" w:hAnsi="Times New Roman"/>
          <w:b/>
          <w:color w:val="1F4E79"/>
          <w:sz w:val="24"/>
        </w:rPr>
        <w:t>7. Выявленные проблемы и решения</w:t>
      </w:r>
    </w:p>
    <w:p>
      <w:pPr>
        <w:spacing w:after="60"/>
        <w:ind w:left="340"/>
      </w:pPr>
      <w:r>
        <w:rPr>
          <w:rFonts w:ascii="Times New Roman" w:hAnsi="Times New Roman"/>
          <w:color w:val="1F4E5A"/>
          <w:sz w:val="22"/>
        </w:rPr>
        <w:t>Проблемы инфраструктуры</w:t>
      </w:r>
    </w:p>
    <w:p>
      <w:pPr>
        <w:spacing w:after="60"/>
        <w:ind w:left="340"/>
      </w:pPr>
      <w:r>
        <w:rPr>
          <w:rFonts w:ascii="Times New Roman" w:hAnsi="Times New Roman"/>
          <w:color w:val="1F4E5A"/>
          <w:sz w:val="22"/>
        </w:rPr>
        <w:t>Проблемы портала</w:t>
      </w:r>
    </w:p>
    <w:p>
      <w:pPr>
        <w:spacing w:after="60"/>
        <w:ind w:left="0"/>
      </w:pPr>
      <w:r>
        <w:rPr>
          <w:rFonts w:ascii="Times New Roman" w:hAnsi="Times New Roman"/>
          <w:b/>
          <w:color w:val="1F4E79"/>
          <w:sz w:val="24"/>
        </w:rPr>
        <w:t>8. План развития</w:t>
      </w:r>
    </w:p>
    <w:p>
      <w:pPr>
        <w:spacing w:after="60"/>
        <w:ind w:left="340"/>
      </w:pPr>
      <w:r>
        <w:rPr>
          <w:rFonts w:ascii="Times New Roman" w:hAnsi="Times New Roman"/>
          <w:color w:val="1F4E5A"/>
          <w:sz w:val="22"/>
        </w:rPr>
        <w:t>Ближний круг (дни 10–12)</w:t>
      </w:r>
    </w:p>
    <w:p>
      <w:pPr>
        <w:spacing w:after="60"/>
        <w:ind w:left="340"/>
      </w:pPr>
      <w:r>
        <w:rPr>
          <w:rFonts w:ascii="Times New Roman" w:hAnsi="Times New Roman"/>
          <w:color w:val="1F4E5A"/>
          <w:sz w:val="22"/>
        </w:rPr>
        <w:t>Средний круг (недели 2–4)</w:t>
      </w:r>
    </w:p>
    <w:p>
      <w:pPr>
        <w:spacing w:after="60"/>
        <w:ind w:left="340"/>
      </w:pPr>
      <w:r>
        <w:rPr>
          <w:rFonts w:ascii="Times New Roman" w:hAnsi="Times New Roman"/>
          <w:color w:val="1F4E5A"/>
          <w:sz w:val="22"/>
        </w:rPr>
        <w:t>Стратегический круг</w:t>
      </w:r>
    </w:p>
    <w:p>
      <w:pPr>
        <w:spacing w:after="60"/>
        <w:ind w:left="0"/>
      </w:pPr>
      <w:r>
        <w:rPr>
          <w:rFonts w:ascii="Times New Roman" w:hAnsi="Times New Roman"/>
          <w:b/>
          <w:color w:val="1F4E79"/>
          <w:sz w:val="24"/>
        </w:rPr>
        <w:t>9. Заключение</w:t>
      </w:r>
    </w:p>
    <w:p>
      <w:pPr/>
      <w:r>
        <w:rPr>
          <w:rFonts w:ascii="Times New Roman" w:hAnsi="Times New Roman" w:eastAsia="Times New Roman"/>
        </w:rPr>
        <w:br w:type="page"/>
      </w:r>
    </w:p>
    <w:p>
      <w:pPr>
        <w:pStyle w:val="Heading1"/>
        <w:pBdr>
          <w:bottom w:val="single" w:sz="8" w:space="6" w:color="1F4E79"/>
        </w:pBdr>
        <w:keepNext/>
      </w:pPr>
      <w:r>
        <w:rPr>
          <w:rFonts w:ascii="Times New Roman" w:hAnsi="Times New Roman" w:eastAsia="Times New Roman"/>
        </w:rPr>
        <w:t>1. Введение и цели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После развёртывания базовой платформы (ЛР №1) платформа представляла собой одноузловой Kubernetes с одной моделью Qwen 2.5 14B, Gateway и порталом с OAuth-входом. Пользователь мог залогиниться и пообщаться с моделью — но не более.</w:t>
      </w:r>
    </w:p>
    <w:p>
      <w:pPr/>
      <w:r>
        <w:rPr>
          <w:rFonts w:ascii="Times New Roman" w:hAnsi="Times New Roman"/>
          <w:b/>
          <w:color w:val="2F5597"/>
          <w:sz w:val="24"/>
        </w:rPr>
        <w:t>Цели второго этапа: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734"/>
        <w:gridCol w:w="4734"/>
      </w:tblGrid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Цель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Биллинг — пополнение баланса и списание токенов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✅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Модельный каталог — несколько моделей с разными ценами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✅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Второй GPU-узел — запуск 32B модели на n7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✅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Исправление ошибок портала (502, 404, 500)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✅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Документирование архитектуры и доступа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✅</w:t>
            </w:r>
          </w:p>
        </w:tc>
      </w:tr>
    </w:tbl>
    <w:p>
      <w:pPr>
        <w:spacing w:after="40" w:before="0" w:line="24" w:lineRule="auto"/>
      </w:pPr>
    </w:p>
    <w:p>
      <w:pPr/>
      <w:r>
        <w:rPr>
          <w:rFonts w:ascii="Times New Roman" w:hAnsi="Times New Roman"/>
          <w:b/>
          <w:color w:val="2F5597"/>
          <w:sz w:val="24"/>
        </w:rPr>
        <w:t>Ключевые цифры: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56"/>
        <w:gridCol w:w="3156"/>
        <w:gridCol w:w="3156"/>
      </w:tblGrid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Было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Стало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GPU-узлов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 (n8)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2 (n8 + n7)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Моделей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 (14B)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2 (14B + 32B)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Общий VRAM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48 ГБ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96 ГБ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Максимальный контекст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4K токенов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8K токенов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OAuth-провайдеров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 (dev)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3 (GitHub, Google, Яндекс)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Платёжных систем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0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 (ЮKassa dev-режим)</w:t>
            </w:r>
          </w:p>
        </w:tc>
      </w:tr>
    </w:tbl>
    <w:p>
      <w:pPr>
        <w:spacing w:after="40" w:before="0" w:line="24" w:lineRule="auto"/>
      </w:pPr>
    </w:p>
    <w:p>
      <w:pPr>
        <w:pStyle w:val="Heading1"/>
        <w:pBdr>
          <w:bottom w:val="single" w:sz="8" w:space="6" w:color="1F4E79"/>
        </w:pBdr>
        <w:keepNext/>
      </w:pPr>
      <w:r>
        <w:rPr>
          <w:rFonts w:ascii="Times New Roman" w:hAnsi="Times New Roman" w:eastAsia="Times New Roman"/>
        </w:rPr>
        <w:t>2. Архитектура после второго этапа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020" w:bottom="1134" w:left="1417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9504000" cy="55213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1_architectur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04000" cy="5521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Academic"/>
      </w:pPr>
      <w:r>
        <w:rPr>
          <w:rFonts w:ascii="Times New Roman" w:hAnsi="Times New Roman" w:eastAsia="Times New Roman"/>
          <w:i/>
        </w:rPr>
        <w:t>Рисунок 1 — Архитектура платформы Aither после второго этапа</w:t>
      </w:r>
    </w:p>
    <w:p>
      <w:pPr>
        <w:sectPr>
          <w:pgSz w:w="16838" w:h="11906" w:orient="landscape"/>
          <w:pgMar w:top="737" w:right="737" w:bottom="737" w:left="737" w:header="720" w:footer="720" w:gutter="0"/>
          <w:cols w:space="720"/>
          <w:docGrid w:linePitch="360"/>
        </w:sectPr>
      </w:pPr>
    </w:p>
    <w:p>
      <w:pPr>
        <w:pStyle w:val="Heading2"/>
        <w:keepNext/>
      </w:pPr>
      <w:r>
        <w:rPr>
          <w:rFonts w:ascii="Times New Roman" w:hAnsi="Times New Roman" w:eastAsia="Times New Roman"/>
        </w:rPr>
        <w:t>Путь запроса</w:t>
      </w:r>
    </w:p>
    <w:p>
      <w:pPr>
        <w:pStyle w:val="CodeBlock"/>
        <w:shd w:fill="F2F2F2"/>
      </w:pPr>
      <w:r>
        <w:rPr>
          <w:rFonts w:ascii="Consolas" w:hAnsi="Consolas" w:eastAsia="Consolas"/>
          <w:sz w:val="16"/>
        </w:rPr>
        <w:t>Пользователь → Nginx (:80) → BFF (:3000)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   ├── /api/v1/chat/completions → model=14B → vLLM n8 :32293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   │                              → model=32B → vLLM n7 :32294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   ├── /api/v1/billing → PostgreSQL (локально)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   └── / → SPA index.html (статический)</w:t>
      </w:r>
    </w:p>
    <w:p>
      <w:pPr>
        <w:pStyle w:val="Heading2"/>
        <w:keepNext/>
      </w:pPr>
      <w:r>
        <w:rPr>
          <w:rFonts w:ascii="Times New Roman" w:hAnsi="Times New Roman" w:eastAsia="Times New Roman"/>
        </w:rPr>
        <w:t>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734"/>
        <w:gridCol w:w="4734"/>
      </w:tblGrid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Технология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Фронтенд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Vanilla JS SPA, Markdown-подсветка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BFF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Node.js + Fastify + TypeScript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Gateway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Python + FastAPI + Redis Rate Limiter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Инференс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vLLM 0.24.0, 2×2 GPU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Хранение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PostgreSQL 16, Redis 7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Оркестрация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Kubernetes 1.33.5, containerd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OAuth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GitHub + Google + Яндекс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Платежи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ЮKassa (dev-режим)</w:t>
            </w:r>
          </w:p>
        </w:tc>
      </w:tr>
    </w:tbl>
    <w:p>
      <w:pPr>
        <w:spacing w:after="40" w:before="0" w:line="24" w:lineRule="auto"/>
      </w:pPr>
    </w:p>
    <w:p>
      <w:pPr>
        <w:pStyle w:val="Heading1"/>
        <w:pBdr>
          <w:bottom w:val="single" w:sz="8" w:space="6" w:color="1F4E79"/>
        </w:pBdr>
        <w:keepNext/>
      </w:pPr>
      <w:r>
        <w:rPr>
          <w:rFonts w:ascii="Times New Roman" w:hAnsi="Times New Roman" w:eastAsia="Times New Roman"/>
        </w:rPr>
        <w:t>3. День 8: Биллинг — пополнение баланса через ЮKassa</w:t>
      </w:r>
    </w:p>
    <w:p>
      <w:pPr>
        <w:pStyle w:val="Heading2"/>
        <w:keepNext/>
      </w:pPr>
      <w:r>
        <w:rPr>
          <w:rFonts w:ascii="Times New Roman" w:hAnsi="Times New Roman" w:eastAsia="Times New Roman"/>
        </w:rPr>
        <w:t>Концепция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Double-entry bookkeeping: каждая операция — это две записи (debit + credit). Модель резервирует токены до инференса и списывает точное количество после.</w:t>
      </w:r>
    </w:p>
    <w:p>
      <w:pPr>
        <w:pStyle w:val="CodeBlock"/>
        <w:shd w:fill="F2F2F2"/>
      </w:pPr>
      <w:r>
        <w:rPr>
          <w:rFonts w:ascii="Consolas" w:hAnsi="Consolas" w:eastAsia="Consolas"/>
          <w:sz w:val="16"/>
        </w:rPr>
        <w:t>Пользователь → Portal (Пополнить) → ЮKassa Widget → Оплата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   → Webhook → Portal BFF → INSERT payment_transactions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   → UPDATE billing_accounts.balance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   → Chat: reserve(N токенов) → inference → settle(факт)</w:t>
      </w:r>
    </w:p>
    <w:p>
      <w:pPr>
        <w:pStyle w:val="Heading2"/>
        <w:keepNext/>
      </w:pPr>
      <w:r>
        <w:rPr>
          <w:rFonts w:ascii="Times New Roman" w:hAnsi="Times New Roman" w:eastAsia="Times New Roman"/>
        </w:rPr>
        <w:t>Реализация</w:t>
      </w:r>
    </w:p>
    <w:p>
      <w:pPr/>
      <w:r>
        <w:rPr>
          <w:rFonts w:ascii="Times New Roman" w:hAnsi="Times New Roman"/>
          <w:b/>
          <w:color w:val="2F5597"/>
          <w:sz w:val="24"/>
        </w:rPr>
        <w:t>BFF (portal/server.ts):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56"/>
        <w:gridCol w:w="3156"/>
        <w:gridCol w:w="3156"/>
      </w:tblGrid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Эндпоинт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Метод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color w:val="505050"/>
                <w:sz w:val="18"/>
              </w:rPr>
              <w:t>/api/v1/billing/initialize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POST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Создаёт платёж (dev: авто-зачисление)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color w:val="505050"/>
                <w:sz w:val="18"/>
              </w:rPr>
              <w:t>/api/v1/billing/topup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POST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Ручное пополнение через виджет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color w:val="505050"/>
                <w:sz w:val="18"/>
              </w:rPr>
              <w:t>/api/v1/billing/webhook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POST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Callback от ЮKassa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color w:val="505050"/>
                <w:sz w:val="18"/>
              </w:rPr>
              <w:t>/api/v1/billing/payments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GET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Список платежей организации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color w:val="505050"/>
                <w:sz w:val="18"/>
              </w:rPr>
              <w:t>/api/v1/billing?org_id=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GET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Текущий баланс</w:t>
            </w:r>
          </w:p>
        </w:tc>
      </w:tr>
    </w:tbl>
    <w:p>
      <w:pPr>
        <w:spacing w:after="40" w:before="0" w:line="24" w:lineRule="auto"/>
      </w:pPr>
    </w:p>
    <w:p>
      <w:pPr/>
      <w:r>
        <w:rPr>
          <w:rFonts w:ascii="Times New Roman" w:hAnsi="Times New Roman"/>
          <w:b/>
          <w:color w:val="2F5597"/>
          <w:sz w:val="24"/>
        </w:rPr>
        <w:t>Таблицы БД:</w:t>
      </w:r>
    </w:p>
    <w:p>
      <w:pPr>
        <w:pStyle w:val="CaptionAcademic"/>
        <w:jc w:val="left"/>
      </w:pPr>
      <w:r>
        <w:rPr>
          <w:rFonts w:ascii="Times New Roman" w:hAnsi="Times New Roman" w:eastAsia="Times New Roman"/>
          <w:i/>
        </w:rPr>
        <w:t>Листинг 3 — sql</w:t>
      </w:r>
    </w:p>
    <w:p>
      <w:pPr>
        <w:pStyle w:val="CodeBlock"/>
        <w:shd w:fill="F2F2F2"/>
      </w:pPr>
      <w:r>
        <w:rPr>
          <w:rFonts w:ascii="Consolas" w:hAnsi="Consolas" w:eastAsia="Consolas"/>
          <w:sz w:val="16"/>
        </w:rPr>
        <w:t>billing_accounts (org_id, balance, reserved, created_at, updated_at)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>payment_transactions (txn_id, org_id, amount_rub, tokens, status, created_at)</w:t>
      </w:r>
    </w:p>
    <w:p>
      <w:pPr>
        <w:jc w:val="both"/>
      </w:pPr>
      <w:r>
        <w:rPr>
          <w:rFonts w:ascii="Times New Roman" w:hAnsi="Times New Roman" w:eastAsia="Times New Roman"/>
          <w:b/>
          <w:sz w:val="24"/>
        </w:rPr>
        <w:t>Dev-режим:</w:t>
      </w:r>
      <w:r>
        <w:rPr>
          <w:rFonts w:ascii="Times New Roman" w:hAnsi="Times New Roman" w:eastAsia="Times New Roman"/>
          <w:sz w:val="24"/>
        </w:rPr>
        <w:t xml:space="preserve"> без реальной интеграции с ЮKassa — платёж автоматически зачисляется. </w:t>
      </w:r>
      <w:r>
        <w:rPr>
          <w:rFonts w:ascii="Times New Roman" w:hAnsi="Times New Roman" w:eastAsia="Times New Roman"/>
          <w:b/>
          <w:sz w:val="24"/>
        </w:rPr>
        <w:t>Боевой режим: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color w:val="505050"/>
          <w:sz w:val="24"/>
        </w:rPr>
        <w:t>YOOKASSA_SHOP_ID</w:t>
      </w:r>
      <w:r>
        <w:rPr>
          <w:rFonts w:ascii="Times New Roman" w:hAnsi="Times New Roman" w:eastAsia="Times New Roman"/>
          <w:sz w:val="24"/>
        </w:rPr>
        <w:t xml:space="preserve"> + </w:t>
      </w:r>
      <w:r>
        <w:rPr>
          <w:rFonts w:ascii="Times New Roman" w:hAnsi="Times New Roman" w:eastAsia="Times New Roman"/>
          <w:color w:val="505050"/>
          <w:sz w:val="24"/>
        </w:rPr>
        <w:t>YOOKASSA_SECRET</w:t>
      </w:r>
      <w:r>
        <w:rPr>
          <w:rFonts w:ascii="Times New Roman" w:hAnsi="Times New Roman" w:eastAsia="Times New Roman"/>
          <w:sz w:val="24"/>
        </w:rPr>
        <w:t xml:space="preserve"> в </w:t>
      </w:r>
      <w:r>
        <w:rPr>
          <w:rFonts w:ascii="Times New Roman" w:hAnsi="Times New Roman" w:eastAsia="Times New Roman"/>
          <w:color w:val="505050"/>
          <w:sz w:val="24"/>
        </w:rPr>
        <w:t>.env</w:t>
      </w:r>
      <w:r>
        <w:rPr>
          <w:rFonts w:ascii="Times New Roman" w:hAnsi="Times New Roman" w:eastAsia="Times New Roman"/>
          <w:sz w:val="24"/>
        </w:rPr>
        <w:t>.</w:t>
      </w:r>
    </w:p>
    <w:p>
      <w:pPr>
        <w:pStyle w:val="Heading2"/>
        <w:keepNext/>
      </w:pPr>
      <w:r>
        <w:rPr>
          <w:rFonts w:ascii="Times New Roman" w:hAnsi="Times New Roman" w:eastAsia="Times New Roman"/>
        </w:rPr>
        <w:t>Тест</w:t>
      </w:r>
    </w:p>
    <w:p>
      <w:pPr>
        <w:pStyle w:val="CodeBlock"/>
        <w:shd w:fill="F2F2F2"/>
      </w:pPr>
      <w:r>
        <w:rPr>
          <w:rFonts w:ascii="Consolas" w:hAnsi="Consolas" w:eastAsia="Consolas"/>
          <w:sz w:val="16"/>
        </w:rPr>
        <w:t>POST /api/v1/billing/topup {org_id, amount: 500}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>→ txn_id=01c5fa1b, статус=succeeded, баланс=500 000 токенов</w:t>
      </w:r>
    </w:p>
    <w:p>
      <w:pPr>
        <w:pStyle w:val="Heading1"/>
        <w:pBdr>
          <w:bottom w:val="single" w:sz="8" w:space="6" w:color="1F4E79"/>
        </w:pBdr>
        <w:keepNext/>
      </w:pPr>
      <w:r>
        <w:rPr>
          <w:rFonts w:ascii="Times New Roman" w:hAnsi="Times New Roman" w:eastAsia="Times New Roman"/>
        </w:rPr>
        <w:t>4. День 9: Каталог моделей и балансировка</w:t>
      </w:r>
    </w:p>
    <w:p>
      <w:pPr>
        <w:pStyle w:val="Heading2"/>
        <w:keepNext/>
      </w:pPr>
      <w:r>
        <w:rPr>
          <w:rFonts w:ascii="Times New Roman" w:hAnsi="Times New Roman" w:eastAsia="Times New Roman"/>
        </w:rPr>
        <w:t>Проблема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В дни 1–8 маршрутизация была жёсткой:</w:t>
      </w:r>
    </w:p>
    <w:p>
      <w:pPr>
        <w:pStyle w:val="CaptionAcademic"/>
        <w:jc w:val="left"/>
      </w:pPr>
      <w:r>
        <w:rPr>
          <w:rFonts w:ascii="Times New Roman" w:hAnsi="Times New Roman" w:eastAsia="Times New Roman"/>
          <w:i/>
        </w:rPr>
        <w:t>Листинг 5 — python</w:t>
      </w:r>
    </w:p>
    <w:p>
      <w:pPr>
        <w:pStyle w:val="CodeBlock"/>
        <w:shd w:fill="F2F2F2"/>
      </w:pPr>
      <w:r>
        <w:rPr>
          <w:rFonts w:ascii="Consolas" w:hAnsi="Consolas" w:eastAsia="Consolas"/>
          <w:sz w:val="16"/>
        </w:rPr>
        <w:t>if "saiga" in model: → VLLM_SAIGA_URL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>else:                → VLLM_URL  # всегда 14B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Невозможно добавить новую модель без правки кода.</w:t>
      </w:r>
    </w:p>
    <w:p>
      <w:pPr>
        <w:pStyle w:val="Heading2"/>
        <w:keepNext/>
      </w:pPr>
      <w:r>
        <w:rPr>
          <w:rFonts w:ascii="Times New Roman" w:hAnsi="Times New Roman" w:eastAsia="Times New Roman"/>
        </w:rPr>
        <w:t>Решение: YAML-каталог</w:t>
      </w:r>
    </w:p>
    <w:p>
      <w:pPr/>
      <w:r>
        <w:rPr>
          <w:rFonts w:ascii="Times New Roman" w:hAnsi="Times New Roman"/>
          <w:b/>
          <w:color w:val="2F5597"/>
          <w:sz w:val="24"/>
        </w:rPr>
        <w:t>gateway/catalog.yaml:</w:t>
      </w:r>
    </w:p>
    <w:p>
      <w:pPr>
        <w:pStyle w:val="CaptionAcademic"/>
        <w:jc w:val="left"/>
      </w:pPr>
      <w:r>
        <w:rPr>
          <w:rFonts w:ascii="Times New Roman" w:hAnsi="Times New Roman" w:eastAsia="Times New Roman"/>
          <w:i/>
        </w:rPr>
        <w:t>Листинг 6 — yaml</w:t>
      </w:r>
    </w:p>
    <w:p>
      <w:pPr>
        <w:pStyle w:val="CodeBlock"/>
        <w:shd w:fill="F2F2F2"/>
      </w:pPr>
      <w:r>
        <w:rPr>
          <w:rFonts w:ascii="Consolas" w:hAnsi="Consolas" w:eastAsia="Consolas"/>
          <w:sz w:val="16"/>
        </w:rPr>
        <w:t>models: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 - name: qwen2.5-14b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   display_name: "Qwen 2.5 14B"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   backend: "http://vllm:8000"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   model_path: "/models/Qwen2.5-14B-Instruct"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   max_tokens: 4096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   tokens_per_ruble: 100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   tags: [chat, code, fast]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 - name: qwen2.5-32b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   display_name: "Qwen 2.5 32B"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   backend: "http://vllm-32b:8000"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   model_path: "/models/Qwen2.5-32B-Instruct-GPTQ"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   max_tokens: 8192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   tokens_per_ruble: 30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   tags: [code, analysis, large-context]</w:t>
      </w:r>
    </w:p>
    <w:p>
      <w:pPr/>
      <w:r>
        <w:rPr>
          <w:rFonts w:ascii="Times New Roman" w:hAnsi="Times New Roman"/>
          <w:b/>
          <w:color w:val="2F5597"/>
          <w:sz w:val="24"/>
        </w:rPr>
        <w:t>Python-загрузчик gateway/catalog.py:</w:t>
      </w:r>
    </w:p>
    <w:p>
      <w:pPr>
        <w:pStyle w:val="CaptionAcademic"/>
        <w:jc w:val="left"/>
      </w:pPr>
      <w:r>
        <w:rPr>
          <w:rFonts w:ascii="Times New Roman" w:hAnsi="Times New Roman" w:eastAsia="Times New Roman"/>
          <w:i/>
        </w:rPr>
        <w:t>Листинг 7 — python</w:t>
      </w:r>
    </w:p>
    <w:p>
      <w:pPr>
        <w:pStyle w:val="CodeBlock"/>
        <w:shd w:fill="F2F2F2"/>
      </w:pPr>
      <w:r>
        <w:rPr>
          <w:rFonts w:ascii="Consolas" w:hAnsi="Consolas" w:eastAsia="Consolas"/>
          <w:sz w:val="16"/>
        </w:rPr>
        <w:t>def resolve(model_name: str) -&gt; tuple[str, str, str | None]: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   """Возвращает (backend_url, model_path, error)"""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   for m in catalog["models"]: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       if m["name"] == model_name and m["status"] == "active":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           return m["backend"], m["model_path"], None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   return "", "", f"Model {model_name} not found"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>def list_models() -&gt; list[dict]: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   """Возвращает список активных моделей для UI"""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   return [m for m in catalog["models"] if m["status"] == "active"]</w:t>
      </w:r>
    </w:p>
    <w:p>
      <w:pPr>
        <w:pStyle w:val="Heading2"/>
        <w:keepNext/>
      </w:pPr>
      <w:r>
        <w:rPr>
          <w:rFonts w:ascii="Times New Roman" w:hAnsi="Times New Roman" w:eastAsia="Times New Roman"/>
        </w:rPr>
        <w:t>Frontend: динамический список моделей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 xml:space="preserve">Вместо жёстко зашитого </w:t>
      </w:r>
      <w:r>
        <w:rPr>
          <w:rFonts w:ascii="Times New Roman" w:hAnsi="Times New Roman" w:eastAsia="Times New Roman"/>
          <w:color w:val="505050"/>
          <w:sz w:val="24"/>
        </w:rPr>
        <w:t>&lt;select&gt;</w:t>
      </w:r>
      <w:r>
        <w:rPr>
          <w:rFonts w:ascii="Times New Roman" w:hAnsi="Times New Roman" w:eastAsia="Times New Roman"/>
          <w:sz w:val="24"/>
        </w:rPr>
        <w:t>:</w:t>
      </w:r>
    </w:p>
    <w:p>
      <w:pPr>
        <w:pStyle w:val="CaptionAcademic"/>
        <w:jc w:val="left"/>
      </w:pPr>
      <w:r>
        <w:rPr>
          <w:rFonts w:ascii="Times New Roman" w:hAnsi="Times New Roman" w:eastAsia="Times New Roman"/>
          <w:i/>
        </w:rPr>
        <w:t>Листинг 8 — javascript</w:t>
      </w:r>
    </w:p>
    <w:p>
      <w:pPr>
        <w:pStyle w:val="CodeBlock"/>
        <w:shd w:fill="F2F2F2"/>
      </w:pPr>
      <w:r>
        <w:rPr>
          <w:rFonts w:ascii="Consolas" w:hAnsi="Consolas" w:eastAsia="Consolas"/>
          <w:sz w:val="16"/>
        </w:rPr>
        <w:t>const { data } = await api('/api/v1/models');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>data.forEach(m =&gt; addModelOption(m.id, m.display_name));</w:t>
      </w:r>
    </w:p>
    <w:p>
      <w:pPr>
        <w:jc w:val="both"/>
      </w:pPr>
      <w:r>
        <w:rPr>
          <w:rFonts w:ascii="Times New Roman" w:hAnsi="Times New Roman" w:eastAsia="Times New Roman"/>
          <w:b/>
          <w:sz w:val="24"/>
        </w:rPr>
        <w:t>Результат:</w:t>
      </w:r>
      <w:r>
        <w:rPr>
          <w:rFonts w:ascii="Times New Roman" w:hAnsi="Times New Roman" w:eastAsia="Times New Roman"/>
          <w:sz w:val="24"/>
        </w:rPr>
        <w:t xml:space="preserve"> выпадающий список строится динамически из API. Добавление новой модели — только в </w:t>
      </w:r>
      <w:r>
        <w:rPr>
          <w:rFonts w:ascii="Times New Roman" w:hAnsi="Times New Roman" w:eastAsia="Times New Roman"/>
          <w:color w:val="505050"/>
          <w:sz w:val="24"/>
        </w:rPr>
        <w:t>catalog.yaml</w:t>
      </w:r>
      <w:r>
        <w:rPr>
          <w:rFonts w:ascii="Times New Roman" w:hAnsi="Times New Roman" w:eastAsia="Times New Roman"/>
          <w:sz w:val="24"/>
        </w:rPr>
        <w:t xml:space="preserve"> + K8s ConfigMap, фронтенд обновляется автоматически.</w:t>
      </w:r>
    </w:p>
    <w:p>
      <w:pPr>
        <w:pStyle w:val="Heading1"/>
        <w:pBdr>
          <w:bottom w:val="single" w:sz="8" w:space="6" w:color="1F4E79"/>
        </w:pBdr>
        <w:keepNext/>
      </w:pPr>
      <w:r>
        <w:rPr>
          <w:rFonts w:ascii="Times New Roman" w:hAnsi="Times New Roman" w:eastAsia="Times New Roman"/>
        </w:rPr>
        <w:t>5. День 10: Второй узел, модель 32B и фиксы портала</w:t>
      </w:r>
    </w:p>
    <w:p>
      <w:pPr>
        <w:pStyle w:val="Heading2"/>
        <w:keepNext/>
      </w:pPr>
      <w:r>
        <w:rPr>
          <w:rFonts w:ascii="Times New Roman" w:hAnsi="Times New Roman" w:eastAsia="Times New Roman"/>
        </w:rPr>
        <w:t>Восстановление 32B модели</w:t>
      </w:r>
    </w:p>
    <w:p>
      <w:pPr>
        <w:jc w:val="both"/>
      </w:pPr>
      <w:r>
        <w:rPr>
          <w:rFonts w:ascii="Times New Roman" w:hAnsi="Times New Roman" w:eastAsia="Times New Roman"/>
          <w:b/>
          <w:sz w:val="24"/>
        </w:rPr>
        <w:t>Исходная ситуация:</w:t>
      </w:r>
      <w:r>
        <w:rPr>
          <w:rFonts w:ascii="Times New Roman" w:hAnsi="Times New Roman" w:eastAsia="Times New Roman"/>
          <w:sz w:val="24"/>
        </w:rPr>
        <w:t xml:space="preserve"> под </w:t>
      </w:r>
      <w:r>
        <w:rPr>
          <w:rFonts w:ascii="Times New Roman" w:hAnsi="Times New Roman" w:eastAsia="Times New Roman"/>
          <w:color w:val="505050"/>
          <w:sz w:val="24"/>
        </w:rPr>
        <w:t>vllm-qwen32b</w:t>
      </w:r>
      <w:r>
        <w:rPr>
          <w:rFonts w:ascii="Times New Roman" w:hAnsi="Times New Roman" w:eastAsia="Times New Roman"/>
          <w:sz w:val="24"/>
        </w:rPr>
        <w:t xml:space="preserve"> был Running, но только через ClusterIP — доступа извне не было. NodePort </w:t>
      </w:r>
      <w:r>
        <w:rPr>
          <w:rFonts w:ascii="Times New Roman" w:hAnsi="Times New Roman" w:eastAsia="Times New Roman"/>
          <w:color w:val="505050"/>
          <w:sz w:val="24"/>
        </w:rPr>
        <w:t>:32293</w:t>
      </w:r>
      <w:r>
        <w:rPr>
          <w:rFonts w:ascii="Times New Roman" w:hAnsi="Times New Roman" w:eastAsia="Times New Roman"/>
          <w:sz w:val="24"/>
        </w:rPr>
        <w:t xml:space="preserve"> вёл только на 14B.</w:t>
      </w:r>
    </w:p>
    <w:p>
      <w:pPr/>
      <w:r>
        <w:rPr>
          <w:rFonts w:ascii="Times New Roman" w:hAnsi="Times New Roman"/>
          <w:b/>
          <w:color w:val="2F5597"/>
          <w:sz w:val="24"/>
        </w:rPr>
        <w:t>Решение:</w:t>
      </w:r>
    </w:p>
    <w:p>
      <w:pPr>
        <w:ind w:left="425" w:hanging="312"/>
      </w:pPr>
      <w:r>
        <w:rPr>
          <w:rFonts w:ascii="Times New Roman" w:hAnsi="Times New Roman" w:eastAsia="Times New Roman"/>
          <w:sz w:val="24"/>
        </w:rPr>
        <w:t xml:space="preserve">1. </w:t>
      </w:r>
      <w:r>
        <w:rPr>
          <w:rFonts w:ascii="Times New Roman" w:hAnsi="Times New Roman" w:eastAsia="Times New Roman"/>
          <w:color w:val="505050"/>
          <w:sz w:val="24"/>
        </w:rPr>
        <w:t>kubectl patch svc vllm-qwen32b</w:t>
      </w:r>
      <w:r>
        <w:rPr>
          <w:rFonts w:ascii="Times New Roman" w:hAnsi="Times New Roman" w:eastAsia="Times New Roman"/>
          <w:sz w:val="24"/>
        </w:rPr>
        <w:t xml:space="preserve"> → NodePort 32294</w:t>
      </w:r>
    </w:p>
    <w:p>
      <w:pPr>
        <w:ind w:left="425" w:hanging="312"/>
      </w:pPr>
      <w:r>
        <w:rPr>
          <w:rFonts w:ascii="Times New Roman" w:hAnsi="Times New Roman" w:eastAsia="Times New Roman"/>
          <w:sz w:val="24"/>
        </w:rPr>
        <w:t xml:space="preserve">2. </w:t>
      </w:r>
      <w:r>
        <w:rPr>
          <w:rFonts w:ascii="Times New Roman" w:hAnsi="Times New Roman" w:eastAsia="Times New Roman"/>
          <w:sz w:val="24"/>
        </w:rPr>
        <w:t xml:space="preserve">BFF-роутинг: </w:t>
      </w:r>
      <w:r>
        <w:rPr>
          <w:rFonts w:ascii="Times New Roman" w:hAnsi="Times New Roman" w:eastAsia="Times New Roman"/>
          <w:color w:val="505050"/>
          <w:sz w:val="24"/>
        </w:rPr>
        <w:t>model=14B → :32293</w:t>
      </w:r>
      <w:r>
        <w:rPr>
          <w:rFonts w:ascii="Times New Roman" w:hAnsi="Times New Roman" w:eastAsia="Times New Roman"/>
          <w:sz w:val="24"/>
        </w:rPr>
        <w:t xml:space="preserve">, </w:t>
      </w:r>
      <w:r>
        <w:rPr>
          <w:rFonts w:ascii="Times New Roman" w:hAnsi="Times New Roman" w:eastAsia="Times New Roman"/>
          <w:color w:val="505050"/>
          <w:sz w:val="24"/>
        </w:rPr>
        <w:t>model=32B → :32294</w:t>
      </w:r>
    </w:p>
    <w:p>
      <w:pPr>
        <w:pStyle w:val="CaptionAcademic"/>
        <w:jc w:val="left"/>
      </w:pPr>
      <w:r>
        <w:rPr>
          <w:rFonts w:ascii="Times New Roman" w:hAnsi="Times New Roman" w:eastAsia="Times New Roman"/>
          <w:i/>
        </w:rPr>
        <w:t>Листинг 9 — typescript</w:t>
      </w:r>
    </w:p>
    <w:p>
      <w:pPr>
        <w:pStyle w:val="CodeBlock"/>
        <w:shd w:fill="F2F2F2"/>
      </w:pPr>
      <w:r>
        <w:rPr>
          <w:rFonts w:ascii="Consolas" w:hAnsi="Consolas" w:eastAsia="Consolas"/>
          <w:sz w:val="16"/>
        </w:rPr>
        <w:t>const CORE_API = "http://10.129.13.78:32293";      // 14B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>const CORE_API_32B = "http://10.129.13.77:32294";  // 32B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>const vllmEndpoint = model === "qwen2.5-32b"</w:t>
      </w:r>
      <w:r>
        <w:rPr>
          <w:rFonts w:ascii="Times New Roman" w:hAnsi="Times New Roman" w:eastAsia="Times New Roman"/>
        </w:rPr>
        <w:br/>
      </w:r>
      <w:r>
        <w:rPr>
          <w:rFonts w:ascii="Consolas" w:hAnsi="Consolas" w:eastAsia="Consolas"/>
          <w:sz w:val="16"/>
        </w:rPr>
        <w:t xml:space="preserve">    ? CORE_API_32B : CORE_API;</w:t>
      </w:r>
    </w:p>
    <w:p>
      <w:pPr>
        <w:pStyle w:val="Heading2"/>
        <w:keepNext/>
      </w:pPr>
      <w:r>
        <w:rPr>
          <w:rFonts w:ascii="Times New Roman" w:hAnsi="Times New Roman" w:eastAsia="Times New Roman"/>
        </w:rPr>
        <w:t>Фиксы портала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56"/>
        <w:gridCol w:w="3156"/>
        <w:gridCol w:w="3156"/>
      </w:tblGrid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Ошибка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Причина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Решение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color w:val="505050"/>
                <w:sz w:val="18"/>
              </w:rPr>
              <w:t>GET /api/v1/core/status</w:t>
            </w:r>
            <w:r>
              <w:rPr>
                <w:rFonts w:ascii="Times New Roman" w:hAnsi="Times New Roman" w:eastAsia="Times New Roman"/>
                <w:sz w:val="18"/>
              </w:rPr>
              <w:t xml:space="preserve"> → 502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vLLM health возвращает пустое тело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BFF: пустое тело = OK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color w:val="505050"/>
                <w:sz w:val="18"/>
              </w:rPr>
              <w:t>GET /api/v1/billing</w:t>
            </w:r>
            <w:r>
              <w:rPr>
                <w:rFonts w:ascii="Times New Roman" w:hAnsi="Times New Roman" w:eastAsia="Times New Roman"/>
                <w:sz w:val="18"/>
              </w:rPr>
              <w:t xml:space="preserve"> → 500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Делегирование в Gateway без ключа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Переключено на локальную БД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color w:val="505050"/>
                <w:sz w:val="18"/>
              </w:rPr>
              <w:t>GET /api/v1/chats/&lt;id&gt;</w:t>
            </w:r>
            <w:r>
              <w:rPr>
                <w:rFonts w:ascii="Times New Roman" w:hAnsi="Times New Roman" w:eastAsia="Times New Roman"/>
                <w:sz w:val="18"/>
              </w:rPr>
              <w:t xml:space="preserve"> → 404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Старый ID в localStorage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Очистка localStorage при 404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Выпадающий список — 1 модель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Статика деплоилась не в ту папку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Деплой в </w:t>
            </w:r>
            <w:r>
              <w:rPr>
                <w:rFonts w:ascii="Times New Roman" w:hAnsi="Times New Roman" w:eastAsia="Times New Roman"/>
                <w:color w:val="505050"/>
                <w:sz w:val="18"/>
              </w:rPr>
              <w:t>aither-portal/static/</w:t>
            </w:r>
          </w:p>
        </w:tc>
      </w:tr>
    </w:tbl>
    <w:p>
      <w:pPr>
        <w:spacing w:after="40" w:before="0" w:line="24" w:lineRule="auto"/>
      </w:pPr>
    </w:p>
    <w:p>
      <w:pPr>
        <w:jc w:val="both"/>
      </w:pPr>
      <w:r>
        <w:rPr>
          <w:rFonts w:ascii="Times New Roman" w:hAnsi="Times New Roman" w:eastAsia="Times New Roman"/>
          <w:b/>
          <w:sz w:val="24"/>
        </w:rPr>
        <w:t>Корневая причина деплоя:</w:t>
      </w:r>
      <w:r>
        <w:rPr>
          <w:rFonts w:ascii="Times New Roman" w:hAnsi="Times New Roman" w:eastAsia="Times New Roman"/>
          <w:sz w:val="24"/>
        </w:rPr>
        <w:t xml:space="preserve"> nginx в Docker Compose монтирует </w:t>
      </w:r>
      <w:r>
        <w:rPr>
          <w:rFonts w:ascii="Times New Roman" w:hAnsi="Times New Roman" w:eastAsia="Times New Roman"/>
          <w:color w:val="505050"/>
          <w:sz w:val="24"/>
        </w:rPr>
        <w:t>/root/aither-portal/static</w:t>
      </w:r>
      <w:r>
        <w:rPr>
          <w:rFonts w:ascii="Times New Roman" w:hAnsi="Times New Roman" w:eastAsia="Times New Roman"/>
          <w:sz w:val="24"/>
        </w:rPr>
        <w:t xml:space="preserve"> (а проект лежит в </w:t>
      </w:r>
      <w:r>
        <w:rPr>
          <w:rFonts w:ascii="Times New Roman" w:hAnsi="Times New Roman" w:eastAsia="Times New Roman"/>
          <w:color w:val="505050"/>
          <w:sz w:val="24"/>
        </w:rPr>
        <w:t>/root/aither-project/portal/static</w:t>
      </w:r>
      <w:r>
        <w:rPr>
          <w:rFonts w:ascii="Times New Roman" w:hAnsi="Times New Roman" w:eastAsia="Times New Roman"/>
          <w:sz w:val="24"/>
        </w:rPr>
        <w:t xml:space="preserve">). Все предыдущие деплои </w:t>
      </w:r>
      <w:r>
        <w:rPr>
          <w:rFonts w:ascii="Times New Roman" w:hAnsi="Times New Roman" w:eastAsia="Times New Roman"/>
          <w:color w:val="505050"/>
          <w:sz w:val="24"/>
        </w:rPr>
        <w:t>scp</w:t>
      </w:r>
      <w:r>
        <w:rPr>
          <w:rFonts w:ascii="Times New Roman" w:hAnsi="Times New Roman" w:eastAsia="Times New Roman"/>
          <w:sz w:val="24"/>
        </w:rPr>
        <w:t xml:space="preserve"> уходили в неправильную директорию и не применялись.</w:t>
      </w:r>
    </w:p>
    <w:p>
      <w:pPr>
        <w:pStyle w:val="Heading1"/>
        <w:pBdr>
          <w:bottom w:val="single" w:sz="8" w:space="6" w:color="1F4E79"/>
        </w:pBdr>
        <w:keepNext/>
      </w:pPr>
      <w:r>
        <w:rPr>
          <w:rFonts w:ascii="Times New Roman" w:hAnsi="Times New Roman" w:eastAsia="Times New Roman"/>
        </w:rPr>
        <w:t>6. Сравнительный анализ моделей</w:t>
      </w:r>
    </w:p>
    <w:p>
      <w:pPr>
        <w:pStyle w:val="Heading2"/>
        <w:keepNext/>
      </w:pPr>
      <w:r>
        <w:rPr>
          <w:rFonts w:ascii="Times New Roman" w:hAnsi="Times New Roman" w:eastAsia="Times New Roman"/>
        </w:rPr>
        <w:t>Характеристики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56"/>
        <w:gridCol w:w="3156"/>
        <w:gridCol w:w="3156"/>
      </w:tblGrid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Qwen 2.5 14B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Qwen 2.5 32B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Архитектура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Dense Transformer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Dense Transformer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Параметры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14 млрд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32 млрд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Контекст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4 096 токенов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8 192 токенов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Квантизация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FP16 (27 ГБ)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GPTQ Int4 (19 ГБ)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VRAM на GPU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~14 ГБ (одна карта)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~21 ГБ × 2 карты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Tensor Parallel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2 (на всякий случай)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2 (обязательно)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Скорость инференса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~25 токенов/с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~12 токенов/с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Цена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100 токенов/₽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30 токенов/₽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300 слов (~450 токенов)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4.5 ₽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15 ₽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1000 слов (~1500 токенов)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15 ₽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50 ₽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Узел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n8 (control-plane)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n7 (worker)</w:t>
            </w:r>
          </w:p>
        </w:tc>
      </w:tr>
    </w:tbl>
    <w:p>
      <w:pPr>
        <w:spacing w:after="40" w:before="0" w:line="24" w:lineRule="auto"/>
      </w:pPr>
    </w:p>
    <w:p>
      <w:pPr>
        <w:pStyle w:val="Heading2"/>
        <w:keepNext/>
      </w:pPr>
      <w:r>
        <w:rPr>
          <w:rFonts w:ascii="Times New Roman" w:hAnsi="Times New Roman" w:eastAsia="Times New Roman"/>
        </w:rPr>
        <w:t>Рекомендации по использованию</w:t>
      </w:r>
    </w:p>
    <w:p>
      <w:pPr/>
      <w:r>
        <w:rPr>
          <w:rFonts w:ascii="Times New Roman" w:hAnsi="Times New Roman"/>
          <w:b/>
          <w:color w:val="2F5597"/>
          <w:sz w:val="24"/>
        </w:rPr>
        <w:t>14B — для быстрых задач: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734"/>
        <w:gridCol w:w="4734"/>
      </w:tblGrid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Сценарий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Причина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Генерация кода средней сложности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Достаточно для CRUD, скриптов, middleware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Чат-боты, Q&amp;A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Быстрый ответ, низкая стоимость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Классификация, извлечение сущностей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Высокая точность на простых паттернах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Редактирование текста, переводы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Не требует «глубокого» понимания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Суммаризация (до 4K токенов)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Контекст покрывает типичные документы</w:t>
            </w:r>
          </w:p>
        </w:tc>
      </w:tr>
    </w:tbl>
    <w:p>
      <w:pPr>
        <w:spacing w:after="40" w:before="0" w:line="24" w:lineRule="auto"/>
      </w:pPr>
    </w:p>
    <w:p>
      <w:pPr/>
      <w:r>
        <w:rPr>
          <w:rFonts w:ascii="Times New Roman" w:hAnsi="Times New Roman"/>
          <w:b/>
          <w:color w:val="2F5597"/>
          <w:sz w:val="24"/>
        </w:rPr>
        <w:t>32B — для сложных задач: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734"/>
        <w:gridCol w:w="4734"/>
      </w:tblGrid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Сценарий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Причина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Анализ больших документов (4K–8K)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Вдвое больший контекст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Архитектурный рефакторинг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Требует понимания структуры всего проекта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Многошаговые рассуждения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Лучше держит цепочку логики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Structured output (JSON, таблицы)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Точнее соблюдает формат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Длинные диалоги с контекстом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Не теряет нить на 20+ сообщениях</w:t>
            </w:r>
          </w:p>
        </w:tc>
      </w:tr>
    </w:tbl>
    <w:p>
      <w:pPr>
        <w:spacing w:after="40" w:before="0" w:line="24" w:lineRule="auto"/>
      </w:pPr>
    </w:p>
    <w:p>
      <w:pPr>
        <w:jc w:val="both"/>
      </w:pPr>
      <w:r>
        <w:rPr>
          <w:rFonts w:ascii="Times New Roman" w:hAnsi="Times New Roman" w:eastAsia="Times New Roman"/>
          <w:b/>
          <w:sz w:val="24"/>
        </w:rPr>
        <w:t>Практическое правило:</w:t>
      </w:r>
      <w:r>
        <w:rPr>
          <w:rFonts w:ascii="Times New Roman" w:hAnsi="Times New Roman" w:eastAsia="Times New Roman"/>
          <w:sz w:val="24"/>
        </w:rPr>
        <w:t xml:space="preserve"> начинай на 14B (быстро, дёшево), переключайся на 32B когда ответ неудовлетворительный или нужно обработать длинный текст.</w:t>
      </w:r>
    </w:p>
    <w:p>
      <w:pPr>
        <w:pStyle w:val="Heading2"/>
        <w:keepNext/>
      </w:pPr>
      <w:r>
        <w:rPr>
          <w:rFonts w:ascii="Times New Roman" w:hAnsi="Times New Roman" w:eastAsia="Times New Roman"/>
        </w:rPr>
        <w:t>Квантизация GPTQ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 xml:space="preserve">32B модель использует GPTQ (Post-Training Quantization) — веса сжаты в Int4 (4 бита на параметр вместо 16). Это </w:t>
      </w:r>
      <w:r>
        <w:rPr>
          <w:rFonts w:ascii="Times New Roman" w:hAnsi="Times New Roman" w:eastAsia="Times New Roman"/>
          <w:b/>
          <w:sz w:val="24"/>
        </w:rPr>
        <w:t>не</w:t>
      </w:r>
      <w:r>
        <w:rPr>
          <w:rFonts w:ascii="Times New Roman" w:hAnsi="Times New Roman" w:eastAsia="Times New Roman"/>
          <w:sz w:val="24"/>
        </w:rPr>
        <w:t xml:space="preserve"> простое округление: GPTQ калибрует квантизацию на реальных данных, компенсируя потерю точности. Результат: 19 ГБ вместо 64 ГБ, качество близко к FP16 на сложных задачах.</w:t>
      </w:r>
    </w:p>
    <w:p>
      <w:pPr>
        <w:pStyle w:val="Heading1"/>
        <w:pBdr>
          <w:bottom w:val="single" w:sz="8" w:space="6" w:color="1F4E79"/>
        </w:pBdr>
        <w:keepNext/>
      </w:pPr>
      <w:r>
        <w:rPr>
          <w:rFonts w:ascii="Times New Roman" w:hAnsi="Times New Roman" w:eastAsia="Times New Roman"/>
        </w:rPr>
        <w:t>7. Выявленные проблемы и решения</w:t>
      </w:r>
    </w:p>
    <w:p>
      <w:pPr>
        <w:pStyle w:val="Heading2"/>
        <w:keepNext/>
      </w:pPr>
      <w:r>
        <w:rPr>
          <w:rFonts w:ascii="Times New Roman" w:hAnsi="Times New Roman" w:eastAsia="Times New Roman"/>
        </w:rPr>
        <w:t>Проблемы инфраструктуры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67"/>
        <w:gridCol w:w="2367"/>
        <w:gridCol w:w="2367"/>
        <w:gridCol w:w="2367"/>
      </w:tblGrid>
      <w:tr>
        <w:trPr>
          <w:cantSplit/>
        </w:trPr>
        <w:tc>
          <w:tcPr>
            <w:tcW w:type="dxa" w:w="68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#</w:t>
            </w:r>
          </w:p>
        </w:tc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Симптом</w:t>
            </w:r>
          </w:p>
        </w:tc>
        <w:tc>
          <w:tcPr>
            <w:tcW w:type="dxa" w:w="300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Причина</w:t>
            </w:r>
          </w:p>
        </w:tc>
        <w:tc>
          <w:tcPr>
            <w:tcW w:type="dxa" w:w="300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Решение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vLLM CrashLoopBackOff на n7</w:t>
            </w:r>
          </w:p>
        </w:tc>
        <w:tc>
          <w:tcPr>
            <w:tcW w:type="dxa" w:w="300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Нет модели </w:t>
            </w:r>
            <w:r>
              <w:rPr>
                <w:rFonts w:ascii="Times New Roman" w:hAnsi="Times New Roman" w:eastAsia="Times New Roman"/>
                <w:color w:val="505050"/>
                <w:sz w:val="18"/>
              </w:rPr>
              <w:t>/models/Qwen2.5-32B-GPTQ</w:t>
            </w:r>
          </w:p>
        </w:tc>
        <w:tc>
          <w:tcPr>
            <w:tcW w:type="dxa" w:w="300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rsync 19 ГБ с n8 (48 МБ/с)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color w:val="505050"/>
                <w:sz w:val="18"/>
              </w:rPr>
              <w:t>nvidia-cdi</w:t>
            </w:r>
            <w:r>
              <w:rPr>
                <w:rFonts w:ascii="Times New Roman" w:hAnsi="Times New Roman" w:eastAsia="Times New Roman"/>
                <w:sz w:val="18"/>
              </w:rPr>
              <w:t xml:space="preserve"> runtime не работает</w:t>
            </w:r>
          </w:p>
        </w:tc>
        <w:tc>
          <w:tcPr>
            <w:tcW w:type="dxa" w:w="300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CDI не монтирует NVML-библиотеки</w:t>
            </w:r>
          </w:p>
        </w:tc>
        <w:tc>
          <w:tcPr>
            <w:tcW w:type="dxa" w:w="300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color w:val="505050"/>
                <w:sz w:val="18"/>
              </w:rPr>
              <w:t>runtimeClassName: nvidia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32B под не отвечает снаружи</w:t>
            </w:r>
          </w:p>
        </w:tc>
        <w:tc>
          <w:tcPr>
            <w:tcW w:type="dxa" w:w="300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Только ClusterIP</w:t>
            </w:r>
          </w:p>
        </w:tc>
        <w:tc>
          <w:tcPr>
            <w:tcW w:type="dxa" w:w="300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NodePort 32294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Неизвестен способ доступа к K8s</w:t>
            </w:r>
          </w:p>
        </w:tc>
        <w:tc>
          <w:tcPr>
            <w:tcW w:type="dxa" w:w="300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SSH закрыт, kubectl без конфига</w:t>
            </w:r>
          </w:p>
        </w:tc>
        <w:tc>
          <w:tcPr>
            <w:tcW w:type="dxa" w:w="300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Astra .21 → su → SSH n8 (root/root)</w:t>
            </w:r>
          </w:p>
        </w:tc>
      </w:tr>
    </w:tbl>
    <w:p>
      <w:pPr>
        <w:spacing w:after="40" w:before="0" w:line="24" w:lineRule="auto"/>
      </w:pPr>
    </w:p>
    <w:p>
      <w:pPr>
        <w:pStyle w:val="Heading2"/>
        <w:keepNext/>
      </w:pPr>
      <w:r>
        <w:rPr>
          <w:rFonts w:ascii="Times New Roman" w:hAnsi="Times New Roman" w:eastAsia="Times New Roman"/>
        </w:rPr>
        <w:t>Проблемы портала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67"/>
        <w:gridCol w:w="2367"/>
        <w:gridCol w:w="2367"/>
        <w:gridCol w:w="2367"/>
      </w:tblGrid>
      <w:tr>
        <w:trPr>
          <w:cantSplit/>
        </w:trPr>
        <w:tc>
          <w:tcPr>
            <w:tcW w:type="dxa" w:w="68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#</w:t>
            </w:r>
          </w:p>
        </w:tc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Симптом</w:t>
            </w:r>
          </w:p>
        </w:tc>
        <w:tc>
          <w:tcPr>
            <w:tcW w:type="dxa" w:w="300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Причина</w:t>
            </w:r>
          </w:p>
        </w:tc>
        <w:tc>
          <w:tcPr>
            <w:tcW w:type="dxa" w:w="300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Решение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Статика деплоится, но не обновляется</w:t>
            </w:r>
          </w:p>
        </w:tc>
        <w:tc>
          <w:tcPr>
            <w:tcW w:type="dxa" w:w="300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nginx монтирует </w:t>
            </w:r>
            <w:r>
              <w:rPr>
                <w:rFonts w:ascii="Times New Roman" w:hAnsi="Times New Roman" w:eastAsia="Times New Roman"/>
                <w:color w:val="505050"/>
                <w:sz w:val="18"/>
              </w:rPr>
              <w:t>aither-portal/static</w:t>
            </w:r>
            <w:r>
              <w:rPr>
                <w:rFonts w:ascii="Times New Roman" w:hAnsi="Times New Roman" w:eastAsia="Times New Roman"/>
                <w:sz w:val="18"/>
              </w:rPr>
              <w:t xml:space="preserve">, не </w:t>
            </w:r>
            <w:r>
              <w:rPr>
                <w:rFonts w:ascii="Times New Roman" w:hAnsi="Times New Roman" w:eastAsia="Times New Roman"/>
                <w:color w:val="505050"/>
                <w:sz w:val="18"/>
              </w:rPr>
              <w:t>aither-project</w:t>
            </w:r>
          </w:p>
        </w:tc>
        <w:tc>
          <w:tcPr>
            <w:tcW w:type="dxa" w:w="300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Исправить путь деплоя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6</w:t>
            </w:r>
          </w:p>
        </w:tc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404 при загрузке старого чата</w:t>
            </w:r>
          </w:p>
        </w:tc>
        <w:tc>
          <w:tcPr>
            <w:tcW w:type="dxa" w:w="300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 в localStorage, чат удалён из БД</w:t>
            </w:r>
          </w:p>
        </w:tc>
        <w:tc>
          <w:tcPr>
            <w:tcW w:type="dxa" w:w="300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Очистка localStorage при 404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7</w:t>
            </w:r>
          </w:p>
        </w:tc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Биллинг 500</w:t>
            </w:r>
          </w:p>
        </w:tc>
        <w:tc>
          <w:tcPr>
            <w:tcW w:type="dxa" w:w="300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BFF делегирует в Gateway без ключа</w:t>
            </w:r>
          </w:p>
        </w:tc>
        <w:tc>
          <w:tcPr>
            <w:tcW w:type="dxa" w:w="300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Прямые SQL-запросы к локальной БД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8</w:t>
            </w:r>
          </w:p>
        </w:tc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core/status 502</w:t>
            </w:r>
          </w:p>
        </w:tc>
        <w:tc>
          <w:tcPr>
            <w:tcW w:type="dxa" w:w="300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vLLM health — пустое тело</w:t>
            </w:r>
          </w:p>
        </w:tc>
        <w:tc>
          <w:tcPr>
            <w:tcW w:type="dxa" w:w="300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Принимать пустое тело как OK</w:t>
            </w:r>
          </w:p>
        </w:tc>
      </w:tr>
    </w:tbl>
    <w:p>
      <w:pPr>
        <w:spacing w:after="40" w:before="0" w:line="24" w:lineRule="auto"/>
      </w:pPr>
    </w:p>
    <w:p>
      <w:pPr>
        <w:pStyle w:val="Heading1"/>
        <w:pBdr>
          <w:bottom w:val="single" w:sz="8" w:space="6" w:color="1F4E79"/>
        </w:pBdr>
        <w:keepNext/>
      </w:pPr>
      <w:r>
        <w:rPr>
          <w:rFonts w:ascii="Times New Roman" w:hAnsi="Times New Roman" w:eastAsia="Times New Roman"/>
        </w:rPr>
        <w:t>8. План развития</w:t>
      </w:r>
    </w:p>
    <w:p>
      <w:pPr>
        <w:pStyle w:val="Heading2"/>
        <w:keepNext/>
      </w:pPr>
      <w:r>
        <w:rPr>
          <w:rFonts w:ascii="Times New Roman" w:hAnsi="Times New Roman" w:eastAsia="Times New Roman"/>
        </w:rPr>
        <w:t>Ближний круг (дни 10–12)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734"/>
        <w:gridCol w:w="4734"/>
      </w:tblGrid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Observability — Grafana дашборд (GPU, задержки, биллинг)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Высокий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 xml:space="preserve">Parsec на n7 — </w:t>
            </w:r>
            <w:r>
              <w:rPr>
                <w:rFonts w:ascii="Times New Roman" w:hAnsi="Times New Roman" w:eastAsia="Times New Roman"/>
                <w:color w:val="505050"/>
                <w:sz w:val="18"/>
              </w:rPr>
              <w:t>max_ilev=63 execstack=1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Средний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ЮKassa боевой режим — реальная оплата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Высокий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Gateway в K8s — вынос бизнес-логики из BFF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Средний</w:t>
            </w:r>
          </w:p>
        </w:tc>
      </w:tr>
    </w:tbl>
    <w:p>
      <w:pPr>
        <w:spacing w:after="40" w:before="0" w:line="24" w:lineRule="auto"/>
      </w:pPr>
    </w:p>
    <w:p>
      <w:pPr>
        <w:pStyle w:val="Heading2"/>
        <w:keepNext/>
      </w:pPr>
      <w:r>
        <w:rPr>
          <w:rFonts w:ascii="Times New Roman" w:hAnsi="Times New Roman" w:eastAsia="Times New Roman"/>
        </w:rPr>
        <w:t>Средний круг (недели 2–4)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734"/>
        <w:gridCol w:w="4734"/>
      </w:tblGrid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Детали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Cost-aware routing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Gateway выбирает самую дешёвую модель под задачу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RAG-подсистема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ChromaDB + эмбеддинги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Fine-tuning пайплайн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Загрузка датасета → LoRA → деплой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Аудит безопасности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Полное тестирование AI Security Gateway</w:t>
            </w:r>
          </w:p>
        </w:tc>
      </w:tr>
    </w:tbl>
    <w:p>
      <w:pPr>
        <w:spacing w:after="40" w:before="0" w:line="24" w:lineRule="auto"/>
      </w:pPr>
    </w:p>
    <w:p>
      <w:pPr>
        <w:pStyle w:val="Heading2"/>
        <w:keepNext/>
      </w:pPr>
      <w:r>
        <w:rPr>
          <w:rFonts w:ascii="Times New Roman" w:hAnsi="Times New Roman" w:eastAsia="Times New Roman"/>
        </w:rPr>
        <w:t>Стратегический круг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734"/>
        <w:gridCol w:w="4734"/>
      </w:tblGrid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Детали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Multi-tenant изоляция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Неймспейсы, квоты, сетевые политики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VPS3 (Failover)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Горячий резерв портала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SaaS-портал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Регистрация организаций, биллинг-дашборды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Промышленная эксплуатация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8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Pilot → Production</w:t>
            </w:r>
          </w:p>
        </w:tc>
      </w:tr>
    </w:tbl>
    <w:p>
      <w:pPr>
        <w:spacing w:after="40" w:before="0" w:line="24" w:lineRule="auto"/>
      </w:pPr>
    </w:p>
    <w:p>
      <w:pPr>
        <w:pStyle w:val="Heading1"/>
        <w:pBdr>
          <w:bottom w:val="single" w:sz="8" w:space="6" w:color="1F4E79"/>
        </w:pBdr>
        <w:keepNext/>
      </w:pPr>
      <w:r>
        <w:rPr>
          <w:rFonts w:ascii="Times New Roman" w:hAnsi="Times New Roman" w:eastAsia="Times New Roman"/>
        </w:rPr>
        <w:t>9. Заключение</w:t>
      </w:r>
    </w:p>
    <w:p>
      <w:pPr/>
      <w:r>
        <w:rPr>
          <w:rFonts w:ascii="Times New Roman" w:hAnsi="Times New Roman"/>
          <w:b/>
          <w:color w:val="2F5597"/>
          <w:sz w:val="24"/>
        </w:rPr>
        <w:t>Что достигнуто:</w:t>
      </w:r>
    </w:p>
    <w:p>
      <w:pPr>
        <w:ind w:left="425" w:hanging="312"/>
      </w:pPr>
      <w:r>
        <w:rPr>
          <w:rFonts w:ascii="Times New Roman" w:hAnsi="Times New Roman" w:eastAsia="Times New Roman"/>
          <w:sz w:val="24"/>
        </w:rPr>
        <w:t xml:space="preserve">1. </w:t>
      </w:r>
      <w:r>
        <w:rPr>
          <w:rFonts w:ascii="Times New Roman" w:hAnsi="Times New Roman" w:eastAsia="Times New Roman"/>
          <w:b/>
          <w:sz w:val="24"/>
        </w:rPr>
        <w:t>Двухузловой GPU-кластер:</w:t>
      </w:r>
      <w:r>
        <w:rPr>
          <w:rFonts w:ascii="Times New Roman" w:hAnsi="Times New Roman" w:eastAsia="Times New Roman"/>
          <w:sz w:val="24"/>
        </w:rPr>
        <w:t xml:space="preserve"> n8 (control-plane) + n7 (worker), 4× Quadro RTX 6000, 96 ГБ VRAM суммарно.</w:t>
      </w:r>
    </w:p>
    <w:p>
      <w:pPr>
        <w:ind w:left="425" w:hanging="312"/>
      </w:pPr>
      <w:r>
        <w:rPr>
          <w:rFonts w:ascii="Times New Roman" w:hAnsi="Times New Roman" w:eastAsia="Times New Roman"/>
          <w:sz w:val="24"/>
        </w:rPr>
        <w:t xml:space="preserve">2. </w:t>
      </w:r>
      <w:r>
        <w:rPr>
          <w:rFonts w:ascii="Times New Roman" w:hAnsi="Times New Roman" w:eastAsia="Times New Roman"/>
          <w:b/>
          <w:sz w:val="24"/>
        </w:rPr>
        <w:t>Две модели в production:</w:t>
      </w:r>
      <w:r>
        <w:rPr>
          <w:rFonts w:ascii="Times New Roman" w:hAnsi="Times New Roman" w:eastAsia="Times New Roman"/>
          <w:sz w:val="24"/>
        </w:rPr>
        <w:t xml:space="preserve"> Qwen 2.5 14B (быстрая, 100 ток/₽) и 32B (мощная, 30 ток/₽). Пользователь выбирает модель в UI.</w:t>
      </w:r>
    </w:p>
    <w:p>
      <w:pPr>
        <w:ind w:left="425" w:hanging="312"/>
      </w:pPr>
      <w:r>
        <w:rPr>
          <w:rFonts w:ascii="Times New Roman" w:hAnsi="Times New Roman" w:eastAsia="Times New Roman"/>
          <w:sz w:val="24"/>
        </w:rPr>
        <w:t xml:space="preserve">3. </w:t>
      </w:r>
      <w:r>
        <w:rPr>
          <w:rFonts w:ascii="Times New Roman" w:hAnsi="Times New Roman" w:eastAsia="Times New Roman"/>
          <w:b/>
          <w:sz w:val="24"/>
        </w:rPr>
        <w:t>Биллинг:</w:t>
      </w:r>
      <w:r>
        <w:rPr>
          <w:rFonts w:ascii="Times New Roman" w:hAnsi="Times New Roman" w:eastAsia="Times New Roman"/>
          <w:sz w:val="24"/>
        </w:rPr>
        <w:t xml:space="preserve"> пополнение через ЮKassa (dev-режим), double-entry учёт, резервирование и списание токенов.</w:t>
      </w:r>
    </w:p>
    <w:p>
      <w:pPr>
        <w:ind w:left="425" w:hanging="312"/>
      </w:pPr>
      <w:r>
        <w:rPr>
          <w:rFonts w:ascii="Times New Roman" w:hAnsi="Times New Roman" w:eastAsia="Times New Roman"/>
          <w:sz w:val="24"/>
        </w:rPr>
        <w:t xml:space="preserve">4. </w:t>
      </w:r>
      <w:r>
        <w:rPr>
          <w:rFonts w:ascii="Times New Roman" w:hAnsi="Times New Roman" w:eastAsia="Times New Roman"/>
          <w:b/>
          <w:sz w:val="24"/>
        </w:rPr>
        <w:t>OAuth-экосистема:</w:t>
      </w:r>
      <w:r>
        <w:rPr>
          <w:rFonts w:ascii="Times New Roman" w:hAnsi="Times New Roman" w:eastAsia="Times New Roman"/>
          <w:sz w:val="24"/>
        </w:rPr>
        <w:t xml:space="preserve"> вход через GitHub, Google и Яндекс.</w:t>
      </w:r>
    </w:p>
    <w:p>
      <w:pPr>
        <w:ind w:left="425" w:hanging="312"/>
      </w:pPr>
      <w:r>
        <w:rPr>
          <w:rFonts w:ascii="Times New Roman" w:hAnsi="Times New Roman" w:eastAsia="Times New Roman"/>
          <w:sz w:val="24"/>
        </w:rPr>
        <w:t xml:space="preserve">5. </w:t>
      </w:r>
      <w:r>
        <w:rPr>
          <w:rFonts w:ascii="Times New Roman" w:hAnsi="Times New Roman" w:eastAsia="Times New Roman"/>
          <w:b/>
          <w:sz w:val="24"/>
        </w:rPr>
        <w:t>Портал:</w:t>
      </w:r>
      <w:r>
        <w:rPr>
          <w:rFonts w:ascii="Times New Roman" w:hAnsi="Times New Roman" w:eastAsia="Times New Roman"/>
          <w:sz w:val="24"/>
        </w:rPr>
        <w:t xml:space="preserve"> SPA с динамическим списком моделей, биллинг-виджетом, историей чатов и SSE-стримингом.</w:t>
      </w:r>
    </w:p>
    <w:p>
      <w:pPr>
        <w:jc w:val="both"/>
      </w:pPr>
      <w:r>
        <w:rPr>
          <w:rFonts w:ascii="Times New Roman" w:hAnsi="Times New Roman" w:eastAsia="Times New Roman"/>
          <w:b/>
          <w:sz w:val="24"/>
        </w:rPr>
        <w:t>Что дальше:</w:t>
      </w:r>
      <w:r>
        <w:rPr>
          <w:rFonts w:ascii="Times New Roman" w:hAnsi="Times New Roman" w:eastAsia="Times New Roman"/>
          <w:sz w:val="24"/>
        </w:rPr>
        <w:t xml:space="preserve"> Observability (Grafana) и боевой режим ЮKassa — ближайшие приоритеты. Параллельно — Parsec на n7 и вынос Gateway в K8s.</w:t>
      </w:r>
    </w:p>
    <w:p>
      <w:pPr>
        <w:jc w:val="right"/>
      </w:pPr>
      <w:r>
        <w:rPr>
          <w:rFonts w:ascii="Times New Roman" w:hAnsi="Times New Roman" w:eastAsia="Times New Roman"/>
          <w:i/>
          <w:color w:val="5A5A5A"/>
          <w:sz w:val="20"/>
        </w:rPr>
        <w:t>Лабораторная работа выполнена 08.07.2026, 23:45 МСК.</w:t>
      </w:r>
    </w:p>
    <w:sectPr w:rsidR="00FC693F" w:rsidRPr="0006063C" w:rsidSect="00034616">
      <w:pgSz w:w="11906" w:h="16838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A5A5A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6" w:color="D9E2F3"/>
      </w:pBdr>
    </w:pPr>
    <w:r>
      <w:rPr>
        <w:rFonts w:ascii="Times New Roman" w:hAnsi="Times New Roman"/>
        <w:color w:val="5A5A5A"/>
        <w:sz w:val="18"/>
      </w:rPr>
      <w:t>Платформа Aither · лабораторная работа №2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559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before="80" w:after="160"/>
      <w:ind w:left="198"/>
    </w:pPr>
    <w:rPr>
      <w:rFonts w:ascii="Consolas" w:hAnsi="Consolas" w:eastAsia="Consolas"/>
      <w:sz w:val="16"/>
    </w:rPr>
  </w:style>
  <w:style w:type="paragraph" w:customStyle="1" w:styleId="CaptionAcademic">
    <w:name w:val="Caption Academic"/>
    <w:pPr>
      <w:spacing w:after="200"/>
      <w:jc w:val="center"/>
    </w:pPr>
    <w:rPr>
      <w:rFonts w:ascii="Times New Roman" w:hAnsi="Times New Roman" w:eastAsia="Times New Roman"/>
      <w:i/>
      <w:color w:val="50505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