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Band-Gap Correction and §II.4 Reconciliation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Proposed manuscript wording — June 2026</w:t>
      </w:r>
    </w:p>
    <w:p>
      <w:pPr>
        <w:spacing w:after="240"/>
        <w:jc w:val="center"/>
      </w:pPr>
      <w:r>
        <w:rPr>
          <w:i/>
          <w:iCs/>
          <w:color w:val="5A5A5A"/>
          <w:sz w:val="18"/>
          <w:szCs w:val="18"/>
        </w:rPr>
        <w:t xml:space="preserve">Draft prose to slot into the manuscript, matching the implemented code and validation. NOTE markers flag editorial decisions. All deviations are vs the experimental (IAEA)/PSTAR references through the Bragg-peak region (~30–300 keV protons).</w:t>
      </w:r>
    </w:p>
    <w:p>
      <w:pPr>
        <w:pStyle w:val="Heading1"/>
      </w:pPr>
      <w:r>
        <w:t xml:space="preserve">A. §II.4 reconciliation (plasmon shift / local-field term)</w:t>
      </w:r>
    </w:p>
    <w:p>
      <w:pPr>
        <w:spacing w:after="120" w:line="276"/>
        <w:jc w:val="both"/>
      </w:pPr>
      <w:r>
        <w:rPr>
          <w:b/>
          <w:bCs/>
        </w:rPr>
        <w:t xml:space="preserve">Issue. </w:t>
      </w:r>
      <w:r>
        <w:t xml:space="preserve">The current §II.4 writes the shifted plasma frequency as ω̃ₚ² = ωₚ² + γ²ωₚ² with a fixed γ² = 0.75. The code no longer uses a single γ²; the bound/valence “binding” correction is applied through the energy-dependent parameters xepa, xepb (defaults 1.0, 1.1) in vlhfit (and xepc/xepd/xepe in the strong-collision and Barkas cutoffs).</w:t>
      </w:r>
    </w:p>
    <w:p>
      <w:pPr>
        <w:spacing w:after="120" w:line="276"/>
        <w:jc w:val="both"/>
      </w:pPr>
      <w:r>
        <w:rPr>
          <w:b/>
          <w:bCs/>
        </w:rPr>
        <w:t xml:space="preserve">Proposed text (sketch — confirm physics intent before finalizing):</w:t>
      </w:r>
    </w:p>
    <w:p>
      <w:pPr>
        <w:pBdr>
          <w:left w:val="single" w:color="9DB7D4" w:sz="18" w:space="10"/>
        </w:pBdr>
        <w:spacing w:after="120" w:line="264"/>
        <w:ind w:left="480" w:right="240"/>
      </w:pPr>
      <w:r>
        <w:rPr>
          <w:i/>
          <w:iCs/>
          <w:color w:val="33475B"/>
        </w:rPr>
        <w:t xml:space="preserve">The bound-electron contribution to the dielectric response is incorporated through a local binding-energy shift rather than a single global plasmon-broadening constant. The shift is applied to the average-atom binding-energy density [c10 column] with an energy-dependent weight that turns the correction off above a cutoff set by the local binding scale (parameters xepa, xepb); this replaces the earlier fixed γ² = 0.75 form, which is recovered approximately in the low-energy limit.</w:t>
      </w:r>
    </w:p>
    <w:p>
      <w:pPr>
        <w:pBdr>
          <w:left w:val="single" w:color="B08D00" w:sz="12" w:space="8"/>
        </w:pBdr>
        <w:spacing w:after="120" w:line="264"/>
        <w:ind w:left="360"/>
      </w:pPr>
      <w:r>
        <w:rPr>
          <w:b/>
          <w:bCs/>
          <w:i/>
          <w:iCs/>
          <w:color w:val="8A6D00"/>
        </w:rPr>
        <w:t xml:space="preserve">NOTE — </w:t>
      </w:r>
      <w:r>
        <w:rPr>
          <w:i/>
          <w:iCs/>
          <w:color w:val="5A5A5A"/>
        </w:rPr>
        <w:t xml:space="preserve">I’m not fully certain of the exact analytic relationship between the old γ² form and the xepa/xepb weighting — this paragraph needs your confirmation. If γ² = 0.75 is still what you want to publish as the canonical model, then the code defaults should be documented as the operative values instead.</w:t>
      </w:r>
    </w:p>
    <w:p>
      <w:pPr>
        <w:pStyle w:val="Heading1"/>
      </w:pPr>
      <w:r>
        <w:t xml:space="preserve">B. Band-gap correction for cold insulators (Levine–Louie)</w:t>
      </w:r>
    </w:p>
    <w:p>
      <w:pPr>
        <w:pBdr>
          <w:left w:val="single" w:color="B08D00" w:sz="12" w:space="8"/>
        </w:pBdr>
        <w:spacing w:after="120" w:line="264"/>
        <w:ind w:left="360"/>
      </w:pPr>
      <w:r>
        <w:rPr>
          <w:b/>
          <w:bCs/>
          <w:i/>
          <w:iCs/>
          <w:color w:val="8A6D00"/>
        </w:rPr>
        <w:t xml:space="preserve">NOTE — </w:t>
      </w:r>
      <w:r>
        <w:rPr>
          <w:i/>
          <w:iCs/>
          <w:color w:val="5A5A5A"/>
        </w:rPr>
        <w:t xml:space="preserve">This is scoped deliberately as a cold-insulator correction, consistent with what the validation supports. Dial the emphasis up/down to taste.</w:t>
      </w:r>
    </w:p>
    <w:p>
      <w:pPr>
        <w:pStyle w:val="Heading2"/>
      </w:pPr>
      <w:r>
        <w:t xml:space="preserve">B.1 Motivation</w:t>
      </w:r>
    </w:p>
    <w:p>
      <w:pPr>
        <w:spacing w:after="120" w:line="276"/>
        <w:jc w:val="both"/>
      </w:pPr>
      <w:r>
        <w:t xml:space="preserve">For cold ionic insulators the average-atom eRPA-LDA model overshoots the measured electronic stopping through the Bragg peak (Fig. 17). The cause is that the model’s valence electrons are given a gapless free-electron-gas response: low-frequency excitations that are forbidden by the material’s band gap are spuriously allowed, inflating the stopping at low projectile velocity.</w:t>
      </w:r>
    </w:p>
    <w:p>
      <w:pPr>
        <w:pStyle w:val="Heading2"/>
      </w:pPr>
      <w:r>
        <w:t xml:space="preserve">B.2 Method</w:t>
      </w:r>
    </w:p>
    <w:p>
      <w:pPr>
        <w:spacing w:after="120" w:line="276"/>
        <w:jc w:val="both"/>
      </w:pPr>
      <w:r>
        <w:t xml:space="preserve">We impose a Levine–Louie band gap on the dielectric response: the energy-loss function Im[−1/ε] is zeroed below a threshold E_g and the oscillator strength is shifted upward, preserving the f-sum rule by construction. Rather than a fixed material gap, the threshold is tied to a local average-atom binding frequency,</w:t>
      </w:r>
    </w:p>
    <w:p>
      <w:pPr>
        <w:spacing w:after="120"/>
        <w:jc w:val="center"/>
      </w:pPr>
      <w:r>
        <w:rPr>
          <w:i/>
          <w:iCs/>
        </w:rPr>
        <w:t xml:space="preserve">E_g(r) = κ · ω_b(r),</w:t>
      </w:r>
    </w:p>
    <w:p>
      <w:pPr>
        <w:spacing w:after="120" w:line="276"/>
        <w:jc w:val="both"/>
      </w:pPr>
      <w:r>
        <w:t xml:space="preserve">where ω_b(r) is obtained from the average-atom geometric-mean binding energy [Eq. (7); in the code, ω_b(r) = c10(r)/r² from the .den output], and κ is a single dimensionless calibration constant. Because ω_b derives from the AA occupations, it evolves continuously with temperature and density. The correction is implemented by tabulating the gapped loss function on a grid of gap frequencies and interpolating at the local E_g(r) during the radial stopping integral.</w:t>
      </w:r>
    </w:p>
    <w:p>
      <w:pPr>
        <w:pStyle w:val="Heading2"/>
      </w:pPr>
      <w:r>
        <w:t xml:space="preserve">B.3 Results</w:t>
      </w:r>
    </w:p>
    <w:p>
      <w:pPr>
        <w:spacing w:after="120" w:line="276"/>
        <w:jc w:val="both"/>
      </w:pPr>
      <w:r>
        <w:t xml:space="preserve">A single κ ≈ 0.9 (κ &lt; 1, as expected since the orbital binding ω_b exceeds the optical gap) removes the cold overshoot for the materials where the LDA overshoots: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246"/>
        <w:gridCol w:w="2246"/>
        <w:gridCol w:w="2246"/>
      </w:tblGrid>
      <w:tr>
        <w:tc>
          <w:tcPr>
            <w:tcW w:type="dxa" w:w="2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gapless dev.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κ=0.9 dev.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optical gap</w:t>
            </w:r>
          </w:p>
        </w:tc>
      </w:tr>
      <w:tr>
        <w:tc>
          <w:tcPr>
            <w:tcW w:type="dxa" w:w="2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LiF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+16 %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−3 %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~14 eV</w:t>
            </w:r>
          </w:p>
        </w:tc>
      </w:tr>
      <w:tr>
        <w:tc>
          <w:tcPr>
            <w:tcW w:type="dxa" w:w="2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SiO₂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+12 %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+2 %</w:t>
            </w:r>
          </w:p>
        </w:tc>
        <w:tc>
          <w:tcPr>
            <w:tcW w:type="dxa" w:w="224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~9 eV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  <w:jc w:val="both"/>
      </w:pPr>
      <w:r>
        <w:t xml:space="preserve">The gap effect scales with the material gap (largest for LiF), emerging automatically from ω_b with no per-material tuning (Fig. 1).</w:t>
      </w:r>
    </w:p>
    <w:p>
      <w:pPr>
        <w:pBdr>
          <w:left w:val="single" w:color="B08D00" w:sz="12" w:space="8"/>
        </w:pBdr>
        <w:spacing w:after="120" w:line="264"/>
        <w:ind w:left="360"/>
      </w:pPr>
      <w:r>
        <w:rPr>
          <w:b/>
          <w:bCs/>
          <w:i/>
          <w:iCs/>
          <w:color w:val="8A6D00"/>
        </w:rPr>
        <w:t xml:space="preserve">NOTE — </w:t>
      </w:r>
      <w:r>
        <w:rPr>
          <w:i/>
          <w:iCs/>
          <w:color w:val="5A5A5A"/>
        </w:rPr>
        <w:t xml:space="preserve">Honesty point, recommend keeping: For several other wide-gap insulators (Al₂O₃, CaF₂, KCl) the gapless model already agrees with the data to within a few percent; there the correction is small or mildly over-corrects. This is the expected and correct behavior — the gap only matters where sub-threshold excitation is being spuriously allowed — but it means a single κ is an approximation, and the experimental spread (±10–20 % between datasets) precludes a tighter calibration. We therefore present κ ≈ 0.9 as a representative value, not a precisely determined constant.</w:t>
      </w:r>
    </w:p>
    <w:p>
      <w:pPr>
        <w:pStyle w:val="Heading2"/>
      </w:pPr>
      <w:r>
        <w:t xml:space="preserve">B.4 Scope and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Cold condensed regime only. The correction targets the cold-insulator overshoot and is not active for the plasma/WDM targets that are the model’s primary application; for those the band-gap concept dissolves as the material ionizes.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Liquid water excluded. Water’s stopping is anomalous (breakdown of Bragg additivity by 10–20 % near the peak, hydrogen-bond-modified dielectric response, phase effects) and lies outside an average-atom, Bragg-additive framework; we exclude it from the gap calibration and note it as a separate, known limitation.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Self-extinction in WDM is incomplete in the present form. Tying E_g to the geometric-mean binding ω_b = c10/r² does not fully vanish at partial ionization (the surviving deep-bound electrons keep ω_b large), so the correction does not yet smoothly disappear across the warm-dense regime. A bound-fraction-weighted threshold (e.g. ω_b ∝ c10/(c06+c07)) is the natural extension and is left to future work.</w:t>
      </w:r>
    </w:p>
    <w:p>
      <w:pPr>
        <w:pBdr>
          <w:left w:val="single" w:color="B08D00" w:sz="12" w:space="8"/>
        </w:pBdr>
        <w:spacing w:after="120" w:line="264"/>
        <w:ind w:left="360"/>
      </w:pPr>
      <w:r>
        <w:rPr>
          <w:b/>
          <w:bCs/>
          <w:i/>
          <w:iCs/>
          <w:color w:val="8A6D00"/>
        </w:rPr>
        <w:t xml:space="preserve">NOTE — </w:t>
      </w:r>
      <w:r>
        <w:rPr>
          <w:i/>
          <w:iCs/>
          <w:color w:val="5A5A5A"/>
        </w:rPr>
        <w:t xml:space="preserve">Include the WDM bullet only if you discuss the WDM limit; otherwise the first bullet suffices.</w:t>
      </w:r>
    </w:p>
    <w:p>
      <w:pPr>
        <w:pStyle w:val="Heading1"/>
      </w:pPr>
      <w:r>
        <w:t xml:space="preserve">C. Figures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876425"/>
            <wp:effectExtent t="0" r="0" b="0" l="0"/>
            <wp:docPr id="1" name="Figure 1" descr="LiF / SiO₂ / Al₂O₃: gapless vs κ = 0.9 vs reference. The gap correction removes the cold overshoot, scaling with the material gap, with a single κ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1. </w:t>
      </w:r>
      <w:r>
        <w:rPr>
          <w:sz w:val="18"/>
          <w:szCs w:val="18"/>
        </w:rPr>
        <w:t xml:space="preserve">LiF / SiO₂ / Al₂O₃: gapless vs κ = 0.9 vs reference. The gap correction removes the cold overshoot, scaling with the material gap, with a single κ.</w:t>
      </w:r>
    </w:p>
    <w:p>
      <w:pPr>
        <w:spacing w:after="120" w:line="276"/>
        <w:jc w:val="both"/>
      </w:pPr>
      <w:r>
        <w:rPr>
          <w:b/>
          <w:bCs/>
        </w:rPr>
        <w:t xml:space="preserve">Optional counterexample (gapless already matches): </w:t>
      </w:r>
      <w:r>
        <w:t xml:space="preserve">CaF₂ and KCl, where the uncorrected model is already within a few percent of the data.</w:t>
      </w:r>
    </w:p>
    <w:p>
      <w:pPr>
        <w:spacing w:after="60" w:before="120"/>
        <w:jc w:val="center"/>
      </w:pPr>
      <w:r>
        <w:drawing>
          <wp:inline distT="0" distB="0" distL="0" distR="0">
            <wp:extent cx="3657600" cy="2543175"/>
            <wp:effectExtent t="0" r="0" b="0" l="0"/>
            <wp:docPr id="1" name="Figure 2 (optional)" descr="CaF₂: the gapless model already agrees with the reference; the gap correction is small or mildly over-corrects — the expected behavior for a material whose gap is not driving a spurious overshoot." title="Figure 2 (option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2 (optional). </w:t>
      </w:r>
      <w:r>
        <w:rPr>
          <w:sz w:val="18"/>
          <w:szCs w:val="18"/>
        </w:rPr>
        <w:t xml:space="preserve">CaF₂: the gapless model already agrees with the reference; the gap correction is small or mildly over-corrects — the expected behavior for a material whose gap is not driving a spurious overshoot.</w:t>
      </w:r>
    </w:p>
    <w:p>
      <w:pPr>
        <w:spacing w:after="120" w:line="276"/>
        <w:jc w:val="both"/>
      </w:pPr>
      <w:r>
        <w:rPr>
          <w:b/>
          <w:bCs/>
        </w:rPr>
        <w:t xml:space="preserve">Optional (only if the WDM limit is discussed): </w:t>
      </w:r>
      <w:r>
        <w:t xml:space="preserve">the temperature fade-out of the correction as the material ionizes.</w:t>
      </w:r>
    </w:p>
    <w:p>
      <w:pPr>
        <w:spacing w:after="60" w:before="120"/>
        <w:jc w:val="center"/>
      </w:pPr>
      <w:r>
        <w:drawing>
          <wp:inline distT="0" distB="0" distL="0" distR="0">
            <wp:extent cx="4724400" cy="3581400"/>
            <wp:effectExtent t="0" r="0" b="0" l="0"/>
            <wp:docPr id="1" name="Figure 3 (optional)" descr="LiF stopping across the warm-dense regime, illustrating the (incomplete) self-extinction of the gap correction with increasing temperature." title="Figure 3 (option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sz w:val="18"/>
          <w:szCs w:val="18"/>
        </w:rPr>
        <w:t xml:space="preserve">Figure 3 (optional). </w:t>
      </w:r>
      <w:r>
        <w:rPr>
          <w:sz w:val="18"/>
          <w:szCs w:val="18"/>
        </w:rPr>
        <w:t xml:space="preserve">LiF stopping across the warm-dense regime, illustrating the (incomplete) self-extinction of the gap correction with increasing temperature.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band-gap correction — draft   ·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4b341f221b87da849b3a32735146054a3b32c0b.png"/><Relationship Id="rId9" Type="http://schemas.openxmlformats.org/officeDocument/2006/relationships/image" Target="media/41a5821807f0c3c96090490242bb25e1fd96e4cc.png"/><Relationship Id="rId10" Type="http://schemas.openxmlformats.org/officeDocument/2006/relationships/image" Target="media/6066f1da68cfce158bd31f909619946ddbe2b7b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2026-06-14T23:24:44.391Z</dcterms:created>
  <dcterms:modified xsi:type="dcterms:W3CDTF">2026-06-14T23:24:44.396Z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