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1BB773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24"/>
                <w:szCs w:val="24"/>
              </w:rPr>
              <w:t>W1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A537AAA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30"/>
                <w:szCs w:val="30"/>
              </w:rPr>
              <w:t>CUNIS DWI W.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5609A56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A5C171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4B8E13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6F4BE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24"/>
                <w:szCs w:val="24"/>
              </w:rPr>
              <w:t>W2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114C03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6F4BE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30"/>
                <w:szCs w:val="30"/>
              </w:rPr>
              <w:t>ANDI ASGAR D.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D217874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6F4BE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93E894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6F4BE8">
              <w:rPr>
                <w:rFonts w:ascii="Arial" w:hAnsi="Arial" w:cs="Arial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B7F0F0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6F4BE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24"/>
                <w:szCs w:val="24"/>
              </w:rPr>
              <w:t>W3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970B39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6F4BE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30"/>
                <w:szCs w:val="30"/>
              </w:rPr>
              <w:t>DIMAS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EFE6107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6F4BE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91A582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6F4BE8">
              <w:rPr>
                <w:rFonts w:ascii="Arial" w:hAnsi="Arial" w:cs="Arial"/>
              </w:rPr>
              <w:fldChar w:fldCharType="separate"/>
            </w:r>
            <w:r w:rsidR="006F4BE8" w:rsidRPr="00027B5E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6F4BE8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2021-11-11T21:29:00Z</dcterms:modified>
</cp:coreProperties>
</file>