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AuMDS — Full Website Content Audit</w:t>
        <w:br/>
        <w:t>&amp; 3D Redesign Blueprint</w:t>
      </w:r>
    </w:p>
    <w:p>
      <w:pPr>
        <w:jc w:val="center"/>
      </w:pPr>
      <w:r>
        <w:rPr>
          <w:i/>
        </w:rPr>
        <w:t>Prepared for internship redesign review · Audited from the live website</w:t>
      </w:r>
    </w:p>
    <w:p>
      <w:pPr>
        <w:pStyle w:val="Heading1"/>
      </w:pPr>
      <w:r>
        <w:t>1. Executive Summary</w:t>
      </w:r>
    </w:p>
    <w:p>
      <w:r>
        <w:t>The current AuMDS website presents a broad multidimensional proposition: corporate consulting, software, branding, digital marketing/video, financial/legal support, networking and skill development. The strongest redesign opportunity is not simply visual polish; it is information architecture. The new concept should turn the existing long-form content into an interactive ecosystem where visitors can quickly understand what AuMDS does, who it serves, why it is different, and how to start a conversation.</w:t>
      </w:r>
    </w:p>
    <w:p>
      <w:r>
        <w:t>Recommended design direction: premium editorial + dark green/gold brand language + 3D ecosystem visualization + progressive disclosure + stronger CTAs + mobile-first interaction.</w:t>
      </w:r>
    </w:p>
    <w:p>
      <w:pPr>
        <w:pStyle w:val="Heading1"/>
      </w:pPr>
      <w:r>
        <w:t>2. Current Site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Page / Route</w:t>
            </w:r>
          </w:p>
        </w:tc>
        <w:tc>
          <w:tcPr>
            <w:tcW w:type="dxa" w:w="2556"/>
          </w:tcPr>
          <w:p>
            <w:r>
              <w:t>Current role</w:t>
            </w:r>
          </w:p>
        </w:tc>
        <w:tc>
          <w:tcPr>
            <w:tcW w:type="dxa" w:w="2556"/>
          </w:tcPr>
          <w:p>
            <w:r>
              <w:t>Major content</w:t>
            </w:r>
          </w:p>
        </w:tc>
        <w:tc>
          <w:tcPr>
            <w:tcW w:type="dxa" w:w="2556"/>
          </w:tcPr>
          <w:p>
            <w:r>
              <w:t>Redesign treatment</w:t>
            </w:r>
          </w:p>
        </w:tc>
      </w:tr>
      <w:tr>
        <w:tc>
          <w:tcPr>
            <w:tcW w:type="dxa" w:w="2556"/>
          </w:tcPr>
          <w:p>
            <w:r>
              <w:t>Home /</w:t>
            </w:r>
          </w:p>
        </w:tc>
        <w:tc>
          <w:tcPr>
            <w:tcW w:type="dxa" w:w="2556"/>
          </w:tcPr>
          <w:p>
            <w:r>
              <w:t>Primary marketing page</w:t>
            </w:r>
          </w:p>
        </w:tc>
        <w:tc>
          <w:tcPr>
            <w:tcW w:type="dxa" w:w="2556"/>
          </w:tcPr>
          <w:p>
            <w:r>
              <w:t>Hero proposition; Highlitz; business journey; services; scaling stages; consultation; values; newsletter; footer/chat</w:t>
            </w:r>
          </w:p>
        </w:tc>
        <w:tc>
          <w:tcPr>
            <w:tcW w:type="dxa" w:w="2556"/>
          </w:tcPr>
          <w:p>
            <w:r>
              <w:t>Make it the cinematic entry point; simplify copy; add 3D ecosystem hero; interactive services; proof/program cards; strong CTA.</w:t>
            </w:r>
          </w:p>
        </w:tc>
      </w:tr>
      <w:tr>
        <w:tc>
          <w:tcPr>
            <w:tcW w:type="dxa" w:w="2556"/>
          </w:tcPr>
          <w:p>
            <w:r>
              <w:t>About Us /about-us/</w:t>
            </w:r>
          </w:p>
        </w:tc>
        <w:tc>
          <w:tcPr>
            <w:tcW w:type="dxa" w:w="2556"/>
          </w:tcPr>
          <w:p>
            <w:r>
              <w:t>Company story</w:t>
            </w:r>
          </w:p>
        </w:tc>
        <w:tc>
          <w:tcPr>
            <w:tcW w:type="dxa" w:w="2556"/>
          </w:tcPr>
          <w:p>
            <w:r>
              <w:t>About narrative; Process Flow; Hall of Fame brands; What We Do; timeline; footer</w:t>
            </w:r>
          </w:p>
        </w:tc>
        <w:tc>
          <w:tcPr>
            <w:tcW w:type="dxa" w:w="2556"/>
          </w:tcPr>
          <w:p>
            <w:r>
              <w:t>Use editorial storytelling, interactive process timeline, brand wall and animated milestone path.</w:t>
            </w:r>
          </w:p>
        </w:tc>
      </w:tr>
      <w:tr>
        <w:tc>
          <w:tcPr>
            <w:tcW w:type="dxa" w:w="2556"/>
          </w:tcPr>
          <w:p>
            <w:r>
              <w:t>Services (linked as site navigation / home content)</w:t>
            </w:r>
          </w:p>
        </w:tc>
        <w:tc>
          <w:tcPr>
            <w:tcW w:type="dxa" w:w="2556"/>
          </w:tcPr>
          <w:p>
            <w:r>
              <w:t>Service catalogue</w:t>
            </w:r>
          </w:p>
        </w:tc>
        <w:tc>
          <w:tcPr>
            <w:tcW w:type="dxa" w:w="2556"/>
          </w:tcPr>
          <w:p>
            <w:r>
              <w:t>Corporate, software, branding, digital/video, financial/legal</w:t>
            </w:r>
          </w:p>
        </w:tc>
        <w:tc>
          <w:tcPr>
            <w:tcW w:type="dxa" w:w="2556"/>
          </w:tcPr>
          <w:p>
            <w:r>
              <w:t>Create a dedicated Services page with capability map and sub-service reveal.</w:t>
            </w:r>
          </w:p>
        </w:tc>
      </w:tr>
      <w:tr>
        <w:tc>
          <w:tcPr>
            <w:tcW w:type="dxa" w:w="2556"/>
          </w:tcPr>
          <w:p>
            <w:r>
              <w:t>Careers /careers/</w:t>
            </w:r>
          </w:p>
        </w:tc>
        <w:tc>
          <w:tcPr>
            <w:tcW w:type="dxa" w:w="2556"/>
          </w:tcPr>
          <w:p>
            <w:r>
              <w:t>Recruitment</w:t>
            </w:r>
          </w:p>
        </w:tc>
        <w:tc>
          <w:tcPr>
            <w:tcW w:type="dxa" w:w="2556"/>
          </w:tcPr>
          <w:p>
            <w:r>
              <w:t>Culture statement; software/full-stack DevOps; creative expert; application form</w:t>
            </w:r>
          </w:p>
        </w:tc>
        <w:tc>
          <w:tcPr>
            <w:tcW w:type="dxa" w:w="2556"/>
          </w:tcPr>
          <w:p>
            <w:r>
              <w:t>Role cards, culture story, application wizard and clearer requirements.</w:t>
            </w:r>
          </w:p>
        </w:tc>
      </w:tr>
      <w:tr>
        <w:tc>
          <w:tcPr>
            <w:tcW w:type="dxa" w:w="2556"/>
          </w:tcPr>
          <w:p>
            <w:r>
              <w:t>Contact /contact-2/</w:t>
            </w:r>
          </w:p>
        </w:tc>
        <w:tc>
          <w:tcPr>
            <w:tcW w:type="dxa" w:w="2556"/>
          </w:tcPr>
          <w:p>
            <w:r>
              <w:t>Lead generation</w:t>
            </w:r>
          </w:p>
        </w:tc>
        <w:tc>
          <w:tcPr>
            <w:tcW w:type="dxa" w:w="2556"/>
          </w:tcPr>
          <w:p>
            <w:r>
              <w:t>Phone, email, office address, enquiry form, hours</w:t>
            </w:r>
          </w:p>
        </w:tc>
        <w:tc>
          <w:tcPr>
            <w:tcW w:type="dxa" w:w="2556"/>
          </w:tcPr>
          <w:p>
            <w:r>
              <w:t>Immersive contact section, map placeholder, direct call/email CTAs and form.</w:t>
            </w:r>
          </w:p>
        </w:tc>
      </w:tr>
      <w:tr>
        <w:tc>
          <w:tcPr>
            <w:tcW w:type="dxa" w:w="2556"/>
          </w:tcPr>
          <w:p>
            <w:r>
              <w:t>Privacy /privacy-policy/</w:t>
            </w:r>
          </w:p>
        </w:tc>
        <w:tc>
          <w:tcPr>
            <w:tcW w:type="dxa" w:w="2556"/>
          </w:tcPr>
          <w:p>
            <w:r>
              <w:t>Legal</w:t>
            </w:r>
          </w:p>
        </w:tc>
        <w:tc>
          <w:tcPr>
            <w:tcW w:type="dxa" w:w="2556"/>
          </w:tcPr>
          <w:p>
            <w:r>
              <w:t>Consent, information collection, logs, sharing, grievance, updates, jurisdiction</w:t>
            </w:r>
          </w:p>
        </w:tc>
        <w:tc>
          <w:tcPr>
            <w:tcW w:type="dxa" w:w="2556"/>
          </w:tcPr>
          <w:p>
            <w:r>
              <w:t>Retain approved legal copy; improve readability only.</w:t>
            </w:r>
          </w:p>
        </w:tc>
      </w:tr>
      <w:tr>
        <w:tc>
          <w:tcPr>
            <w:tcW w:type="dxa" w:w="2556"/>
          </w:tcPr>
          <w:p>
            <w:r>
              <w:t>Terms /terms-of-use/</w:t>
            </w:r>
          </w:p>
        </w:tc>
        <w:tc>
          <w:tcPr>
            <w:tcW w:type="dxa" w:w="2556"/>
          </w:tcPr>
          <w:p>
            <w:r>
              <w:t>Legal</w:t>
            </w:r>
          </w:p>
        </w:tc>
        <w:tc>
          <w:tcPr>
            <w:tcW w:type="dxa" w:w="2556"/>
          </w:tcPr>
          <w:p>
            <w:r>
              <w:t>Service agreement, products, IP, website use, comments, linking, disclaimers, jurisdiction, termination</w:t>
            </w:r>
          </w:p>
        </w:tc>
        <w:tc>
          <w:tcPr>
            <w:tcW w:type="dxa" w:w="2556"/>
          </w:tcPr>
          <w:p>
            <w:r>
              <w:t>Retain approved legal copy; improve readability only.</w:t>
            </w:r>
          </w:p>
        </w:tc>
      </w:tr>
    </w:tbl>
    <w:p>
      <w:pPr>
        <w:pStyle w:val="Heading1"/>
      </w:pPr>
      <w:r>
        <w:t>3. Home Page — Section-by-Section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Section</w:t>
            </w:r>
          </w:p>
        </w:tc>
        <w:tc>
          <w:tcPr>
            <w:tcW w:type="dxa" w:w="3408"/>
          </w:tcPr>
          <w:p>
            <w:r>
              <w:t>Current copy / content inventory</w:t>
            </w:r>
          </w:p>
        </w:tc>
        <w:tc>
          <w:tcPr>
            <w:tcW w:type="dxa" w:w="3408"/>
          </w:tcPr>
          <w:p>
            <w:r>
              <w:t>Audit + redesign recommendation</w:t>
            </w:r>
          </w:p>
        </w:tc>
      </w:tr>
      <w:tr>
        <w:tc>
          <w:tcPr>
            <w:tcW w:type="dxa" w:w="3408"/>
          </w:tcPr>
          <w:p>
            <w:r>
              <w:t>Header / navigation</w:t>
            </w:r>
          </w:p>
        </w:tc>
        <w:tc>
          <w:tcPr>
            <w:tcW w:type="dxa" w:w="3408"/>
          </w:tcPr>
          <w:p>
            <w:r>
              <w:t>AuMDS; tagline “Co-creating the Universe of Brands”; Home, About Us, Services, Careers, Contact Us.</w:t>
            </w:r>
          </w:p>
        </w:tc>
        <w:tc>
          <w:tcPr>
            <w:tcW w:type="dxa" w:w="3408"/>
          </w:tcPr>
          <w:p>
            <w:r>
              <w:t>Navigation is repeated in the rendered structure. Redesign as one persistent responsive nav.</w:t>
            </w:r>
          </w:p>
        </w:tc>
      </w:tr>
      <w:tr>
        <w:tc>
          <w:tcPr>
            <w:tcW w:type="dxa" w:w="3408"/>
          </w:tcPr>
          <w:p>
            <w:r>
              <w:t>Hero</w:t>
            </w:r>
          </w:p>
        </w:tc>
        <w:tc>
          <w:tcPr>
            <w:tcW w:type="dxa" w:w="3408"/>
          </w:tcPr>
          <w:p>
            <w:r>
              <w:t>“Advanced &amp; Holistic Corporate Solutions Driven By Technology Innovation Creativity”; transformation and co-creation statements; end-to-end business solution proposition; service search input.</w:t>
            </w:r>
          </w:p>
        </w:tc>
        <w:tc>
          <w:tcPr>
            <w:tcW w:type="dxa" w:w="3408"/>
          </w:tcPr>
          <w:p>
            <w:r>
              <w:t>Strong proposition but text-heavy. Replace with a single high-impact statement and three supporting dimensions.</w:t>
            </w:r>
          </w:p>
        </w:tc>
      </w:tr>
      <w:tr>
        <w:tc>
          <w:tcPr>
            <w:tcW w:type="dxa" w:w="3408"/>
          </w:tcPr>
          <w:p>
            <w:r>
              <w:t>Updates / visual strip</w:t>
            </w:r>
          </w:p>
        </w:tc>
        <w:tc>
          <w:tcPr>
            <w:tcW w:type="dxa" w:w="3408"/>
          </w:tcPr>
          <w:p>
            <w:r>
              <w:t>“CHECK OUT THE LATEST UPDATES &amp; TRENDING SOLUTIONS ON OUR PAGE” plus image assets.</w:t>
            </w:r>
          </w:p>
        </w:tc>
        <w:tc>
          <w:tcPr>
            <w:tcW w:type="dxa" w:w="3408"/>
          </w:tcPr>
          <w:p>
            <w:r>
              <w:t>Convert into a dynamic updates/insights strip or remove if not actively maintained.</w:t>
            </w:r>
          </w:p>
        </w:tc>
      </w:tr>
      <w:tr>
        <w:tc>
          <w:tcPr>
            <w:tcW w:type="dxa" w:w="3408"/>
          </w:tcPr>
          <w:p>
            <w:r>
              <w:t>HIGHLITZ</w:t>
            </w:r>
          </w:p>
        </w:tc>
        <w:tc>
          <w:tcPr>
            <w:tcW w:type="dxa" w:w="3408"/>
          </w:tcPr>
          <w:p>
            <w:r>
              <w:t>TRIAD Internship Program; SatChai; Skill Development Wing, with descriptive copy.</w:t>
            </w:r>
          </w:p>
        </w:tc>
        <w:tc>
          <w:tcPr>
            <w:tcW w:type="dxa" w:w="3408"/>
          </w:tcPr>
          <w:p>
            <w:r>
              <w:t>Keep as three premium interactive feature cards with dedicated CTAs.</w:t>
            </w:r>
          </w:p>
        </w:tc>
      </w:tr>
      <w:tr>
        <w:tc>
          <w:tcPr>
            <w:tcW w:type="dxa" w:w="3408"/>
          </w:tcPr>
          <w:p>
            <w:r>
              <w:t>Business journey</w:t>
            </w:r>
          </w:p>
        </w:tc>
        <w:tc>
          <w:tcPr>
            <w:tcW w:type="dxa" w:w="3408"/>
          </w:tcPr>
          <w:p>
            <w:r>
              <w:t>“From Design &amp; Development of Corporate Products to Regular Holistic Service Delivery” plus bootstrap, establish brand, networking and sustainability sections.</w:t>
            </w:r>
          </w:p>
        </w:tc>
        <w:tc>
          <w:tcPr>
            <w:tcW w:type="dxa" w:w="3408"/>
          </w:tcPr>
          <w:p>
            <w:r>
              <w:t>Turn into a visual journey from Idea → Build → Brand → Connect → Sustain.</w:t>
            </w:r>
          </w:p>
        </w:tc>
      </w:tr>
      <w:tr>
        <w:tc>
          <w:tcPr>
            <w:tcW w:type="dxa" w:w="3408"/>
          </w:tcPr>
          <w:p>
            <w:r>
              <w:t>Services</w:t>
            </w:r>
          </w:p>
        </w:tc>
        <w:tc>
          <w:tcPr>
            <w:tcW w:type="dxa" w:w="3408"/>
          </w:tcPr>
          <w:p>
            <w:r>
              <w:t>Holistic Corporate; Integrated Software; Holistic Branding; Digital Marketing &amp; Video Production; Corporate Financial &amp; Legal.</w:t>
            </w:r>
          </w:p>
        </w:tc>
        <w:tc>
          <w:tcPr>
            <w:tcW w:type="dxa" w:w="3408"/>
          </w:tcPr>
          <w:p>
            <w:r>
              <w:t>Use interactive 3D/capability cards; reveal sub-services on tap/hover.</w:t>
            </w:r>
          </w:p>
        </w:tc>
      </w:tr>
      <w:tr>
        <w:tc>
          <w:tcPr>
            <w:tcW w:type="dxa" w:w="3408"/>
          </w:tcPr>
          <w:p>
            <w:r>
              <w:t>Consultation CTA</w:t>
            </w:r>
          </w:p>
        </w:tc>
        <w:tc>
          <w:tcPr>
            <w:tcW w:type="dxa" w:w="3408"/>
          </w:tcPr>
          <w:p>
            <w:r>
              <w:t>Free expert consultation; phone +91 7019134445; 24-hour response promise.</w:t>
            </w:r>
          </w:p>
        </w:tc>
        <w:tc>
          <w:tcPr>
            <w:tcW w:type="dxa" w:w="3408"/>
          </w:tcPr>
          <w:p>
            <w:r>
              <w:t>Make sticky/visible throughout the site, but verify the 24-hour promise before production.</w:t>
            </w:r>
          </w:p>
        </w:tc>
      </w:tr>
      <w:tr>
        <w:tc>
          <w:tcPr>
            <w:tcW w:type="dxa" w:w="3408"/>
          </w:tcPr>
          <w:p>
            <w:r>
              <w:t>Values / positioning</w:t>
            </w:r>
          </w:p>
        </w:tc>
        <w:tc>
          <w:tcPr>
            <w:tcW w:type="dxa" w:w="3408"/>
          </w:tcPr>
          <w:p>
            <w:r>
              <w:t>Multidimensional solutions; Quality of Service, Trust, Accountability, Client Satisfaction, Team Work, Adaptability, Versatility, Sustainability.</w:t>
            </w:r>
          </w:p>
        </w:tc>
        <w:tc>
          <w:tcPr>
            <w:tcW w:type="dxa" w:w="3408"/>
          </w:tcPr>
          <w:p>
            <w:r>
              <w:t>Visualize as a rotating values wheel or compact trust strip.</w:t>
            </w:r>
          </w:p>
        </w:tc>
      </w:tr>
      <w:tr>
        <w:tc>
          <w:tcPr>
            <w:tcW w:type="dxa" w:w="3408"/>
          </w:tcPr>
          <w:p>
            <w:r>
              <w:t>Business scale</w:t>
            </w:r>
          </w:p>
        </w:tc>
        <w:tc>
          <w:tcPr>
            <w:tcW w:type="dxa" w:w="3408"/>
          </w:tcPr>
          <w:p>
            <w:r>
              <w:t>Organically Bootstrapping; Slow Scaling; Fast Scaling; Blitz Scaling.</w:t>
            </w:r>
          </w:p>
        </w:tc>
        <w:tc>
          <w:tcPr>
            <w:tcW w:type="dxa" w:w="3408"/>
          </w:tcPr>
          <w:p>
            <w:r>
              <w:t>Use a 4-stage interactive growth selector.</w:t>
            </w:r>
          </w:p>
        </w:tc>
      </w:tr>
      <w:tr>
        <w:tc>
          <w:tcPr>
            <w:tcW w:type="dxa" w:w="3408"/>
          </w:tcPr>
          <w:p>
            <w:r>
              <w:t>Newsletter / footer</w:t>
            </w:r>
          </w:p>
        </w:tc>
        <w:tc>
          <w:tcPr>
            <w:tcW w:type="dxa" w:w="3408"/>
          </w:tcPr>
          <w:p>
            <w:r>
              <w:t>Email subscription prompt; quick links; privacy; terms; contact; office hours; copyright 2025; chatbot.</w:t>
            </w:r>
          </w:p>
        </w:tc>
        <w:tc>
          <w:tcPr>
            <w:tcW w:type="dxa" w:w="3408"/>
          </w:tcPr>
          <w:p>
            <w:r>
              <w:t>Reduce footer repetition, add clear newsletter purpose, retain legal links, verify footer year.</w:t>
            </w:r>
          </w:p>
        </w:tc>
      </w:tr>
    </w:tbl>
    <w:p>
      <w:pPr>
        <w:pStyle w:val="Heading1"/>
      </w:pPr>
      <w:r>
        <w:t>4. About Us — Section-by-Section Audit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Section</w:t>
            </w:r>
          </w:p>
        </w:tc>
        <w:tc>
          <w:tcPr>
            <w:tcW w:type="dxa" w:w="3408"/>
          </w:tcPr>
          <w:p>
            <w:r>
              <w:t>Content</w:t>
            </w:r>
          </w:p>
        </w:tc>
        <w:tc>
          <w:tcPr>
            <w:tcW w:type="dxa" w:w="3408"/>
          </w:tcPr>
          <w:p>
            <w:r>
              <w:t>Redesign action</w:t>
            </w:r>
          </w:p>
        </w:tc>
      </w:tr>
      <w:tr>
        <w:tc>
          <w:tcPr>
            <w:tcW w:type="dxa" w:w="3408"/>
          </w:tcPr>
          <w:p>
            <w:r>
              <w:t>About Us</w:t>
            </w:r>
          </w:p>
        </w:tc>
        <w:tc>
          <w:tcPr>
            <w:tcW w:type="dxa" w:w="3408"/>
          </w:tcPr>
          <w:p>
            <w:r>
              <w:t>Long-form company description covering technology, innovation, creativity, sustainability, business lifecycle support and service breadth.</w:t>
            </w:r>
          </w:p>
        </w:tc>
        <w:tc>
          <w:tcPr>
            <w:tcW w:type="dxa" w:w="3408"/>
          </w:tcPr>
          <w:p>
            <w:r>
              <w:t>Break into a short manifesto + expandable details.</w:t>
            </w:r>
          </w:p>
        </w:tc>
      </w:tr>
      <w:tr>
        <w:tc>
          <w:tcPr>
            <w:tcW w:type="dxa" w:w="3408"/>
          </w:tcPr>
          <w:p>
            <w:r>
              <w:t>Process Flow</w:t>
            </w:r>
          </w:p>
        </w:tc>
        <w:tc>
          <w:tcPr>
            <w:tcW w:type="dxa" w:w="3408"/>
          </w:tcPr>
          <w:p>
            <w:r>
              <w:t>A process-flow image asset is present.</w:t>
            </w:r>
          </w:p>
        </w:tc>
        <w:tc>
          <w:tcPr>
            <w:tcW w:type="dxa" w:w="3408"/>
          </w:tcPr>
          <w:p>
            <w:r>
              <w:t>Rebuild as an accessible HTML/CSS timeline so it is responsive and searchable.</w:t>
            </w:r>
          </w:p>
        </w:tc>
      </w:tr>
      <w:tr>
        <w:tc>
          <w:tcPr>
            <w:tcW w:type="dxa" w:w="3408"/>
          </w:tcPr>
          <w:p>
            <w:r>
              <w:t>Hall of Fame brands</w:t>
            </w:r>
          </w:p>
        </w:tc>
        <w:tc>
          <w:tcPr>
            <w:tcW w:type="dxa" w:w="3408"/>
          </w:tcPr>
          <w:p>
            <w:r>
              <w:t>Heading plus multiple image assets representing endorsed brands.</w:t>
            </w:r>
          </w:p>
        </w:tc>
        <w:tc>
          <w:tcPr>
            <w:tcW w:type="dxa" w:w="3408"/>
          </w:tcPr>
          <w:p>
            <w:r>
              <w:t>Replace generic image labels with actual brand names, links and/or case studies where approved.</w:t>
            </w:r>
          </w:p>
        </w:tc>
      </w:tr>
      <w:tr>
        <w:tc>
          <w:tcPr>
            <w:tcW w:type="dxa" w:w="3408"/>
          </w:tcPr>
          <w:p>
            <w:r>
              <w:t>What We Do</w:t>
            </w:r>
          </w:p>
        </w:tc>
        <w:tc>
          <w:tcPr>
            <w:tcW w:type="dxa" w:w="3408"/>
          </w:tcPr>
          <w:p>
            <w:r>
              <w:t>Long-form narrative describing AuMDS as co-pilot, ecosystem and resilience partner.</w:t>
            </w:r>
          </w:p>
        </w:tc>
        <w:tc>
          <w:tcPr>
            <w:tcW w:type="dxa" w:w="3408"/>
          </w:tcPr>
          <w:p>
            <w:r>
              <w:t>Keep the ideas; cut repetition and use three visual principles: co-create, connect, sustain.</w:t>
            </w:r>
          </w:p>
        </w:tc>
      </w:tr>
      <w:tr>
        <w:tc>
          <w:tcPr>
            <w:tcW w:type="dxa" w:w="3408"/>
          </w:tcPr>
          <w:p>
            <w:r>
              <w:t>Company Timeline</w:t>
            </w:r>
          </w:p>
        </w:tc>
        <w:tc>
          <w:tcPr>
            <w:tcW w:type="dxa" w:w="3408"/>
          </w:tcPr>
          <w:p>
            <w:r>
              <w:t>2020 Bengaluru; 2022 Pune; 2022 Bengaluru HQ; 2023 SatChai + SDW.</w:t>
            </w:r>
          </w:p>
        </w:tc>
        <w:tc>
          <w:tcPr>
            <w:tcW w:type="dxa" w:w="3408"/>
          </w:tcPr>
          <w:p>
            <w:r>
              <w:t>Convert to interactive timeline with location and milestone cards.</w:t>
            </w:r>
          </w:p>
        </w:tc>
      </w:tr>
      <w:tr>
        <w:tc>
          <w:tcPr>
            <w:tcW w:type="dxa" w:w="3408"/>
          </w:tcPr>
          <w:p>
            <w:r>
              <w:t>Footer/chat</w:t>
            </w:r>
          </w:p>
        </w:tc>
        <w:tc>
          <w:tcPr>
            <w:tcW w:type="dxa" w:w="3408"/>
          </w:tcPr>
          <w:p>
            <w:r>
              <w:t>Same footer and chatbot pattern as Home.</w:t>
            </w:r>
          </w:p>
        </w:tc>
        <w:tc>
          <w:tcPr>
            <w:tcW w:type="dxa" w:w="3408"/>
          </w:tcPr>
          <w:p>
            <w:r>
              <w:t>Use one shared global footer and one consistent support widget.</w:t>
            </w:r>
          </w:p>
        </w:tc>
      </w:tr>
    </w:tbl>
    <w:p>
      <w:pPr>
        <w:pStyle w:val="Heading1"/>
      </w:pPr>
      <w:r>
        <w:t>5. Services — Content Audit</w:t>
      </w:r>
    </w:p>
    <w:p>
      <w:pPr>
        <w:pStyle w:val="ListBullet"/>
      </w:pPr>
      <w:r>
        <w:t>Holistic Corporate Solutions — planning, strategizing, business-model development, SOPs, business itineraries, related BPO services, organizing, team building and R&amp;D.</w:t>
      </w:r>
    </w:p>
    <w:p>
      <w:pPr>
        <w:pStyle w:val="ListBullet"/>
      </w:pPr>
      <w:r>
        <w:t>Integrated Software Solutions — web/app development, IoT/wearables, on-demand software, POS, CRM, SaaS/micro-SaaS and data management.</w:t>
      </w:r>
    </w:p>
    <w:p>
      <w:pPr>
        <w:pStyle w:val="ListBullet"/>
      </w:pPr>
      <w:r>
        <w:t>Holistic Branding Solutions — strategy, identity, messaging, customer experience, graphic design and content.</w:t>
      </w:r>
    </w:p>
    <w:p>
      <w:pPr>
        <w:pStyle w:val="ListBullet"/>
      </w:pPr>
      <w:r>
        <w:t>Digital Marketing &amp; Video Production — innovative/data-driven digital marketing, photography and video production.</w:t>
      </w:r>
    </w:p>
    <w:p>
      <w:pPr>
        <w:pStyle w:val="ListBullet"/>
      </w:pPr>
      <w:r>
        <w:t>Corporate Financial &amp; Legal Solutions — incorporation, registrations, certifications, licenses, accounting, bookkeeping, GST, IT/TDS, payroll, labour law, Companies Act and allied services.</w:t>
      </w:r>
    </w:p>
    <w:p>
      <w:r>
        <w:t>Audit finding: the service proposition is comprehensive but presented repeatedly in the current rendered page. The redesign should make each capability scannable, then reveal details progressively.</w:t>
      </w:r>
    </w:p>
    <w:p>
      <w:pPr>
        <w:pStyle w:val="Heading1"/>
      </w:pPr>
      <w:r>
        <w:t>6. Careers — Section-by-Section Audit</w:t>
      </w:r>
    </w:p>
    <w:p>
      <w:r>
        <w:t>Culture: “Symbiotic Work Culture Is Our Way” and “We Believe in Growing Stronger Together.”</w:t>
      </w:r>
    </w:p>
    <w:p>
      <w:r>
        <w:t>Role 1: Software Full Stack DevOps Role; experience 3–5 years; 2 vacancies; WFH/Freelance/Part-Time/Full-Time; negotiable salary; broad technical stack including WordPress, React, React Native, Node, SaaS, JS, Python, Java, PHP, HTML/CSS, SQL, C/C++, C#, APIs, AI/ML, cloud, SAP, AWS and more.</w:t>
      </w:r>
    </w:p>
    <w:p>
      <w:r>
        <w:t>Role 2: Creative Expert Role; freshers/1–2 years; 5 vacancies; full-time/part-time/WFH; skills include graphic design, content writing, video editing, UI/UX, social media, Adobe Suite, Canva, Figma and video tools.</w:t>
      </w:r>
    </w:p>
    <w:p>
      <w:r>
        <w:t>Application form: Name, email, phone, employment type, preferred role, current title/company, experience, education, LinkedIn, GitHub, referral source, references, why hire you, CV, cover letter, portfolio and certifications.</w:t>
      </w:r>
    </w:p>
    <w:p>
      <w:r>
        <w:t>Contact: career@aumdsorg.com plus standard contact details.</w:t>
      </w:r>
    </w:p>
    <w:p>
      <w:pPr>
        <w:pStyle w:val="Heading1"/>
      </w:pPr>
      <w:r>
        <w:t>7. Contact — Content Audit</w:t>
      </w:r>
    </w:p>
    <w:p>
      <w:r>
        <w:t>Current headline: “Have Any Query, Contact Us!” with supporting line “We Are Available Round The Clock | At Your Service | Just A Call Away”.</w:t>
      </w:r>
    </w:p>
    <w:p>
      <w:r>
        <w:t>Contact channels: +91 7019134445; contact@aumdsorg.com; office address #769, 2nd Floor, Prema Enclave, 1st Main, Outer Ring Rd, Kengeri Satellite Town, Bengaluru, Karnataka 560060; enquiry form fields: Name, Email, Subject, Message.</w:t>
      </w:r>
    </w:p>
    <w:p>
      <w:r>
        <w:t>Redesign recommendation: keep contact data prominent; add contextual service selector, consultation intent, optional budget/timeline, and confirmation state.</w:t>
      </w:r>
    </w:p>
    <w:p>
      <w:pPr>
        <w:pStyle w:val="Heading1"/>
      </w:pPr>
      <w:r>
        <w:t>8. Legal Pages — Audit</w:t>
      </w:r>
    </w:p>
    <w:p>
      <w:r>
        <w:t>Privacy Policy: existing page states it applies to online activity; covers consent, information collection, direct contact, account details, billing, public posts, demographic information, partner sharing, log files, child information, grievance head, updates and Indian jurisdiction. The live page states a last update of 28 March 2022.</w:t>
      </w:r>
    </w:p>
    <w:p>
      <w:r>
        <w:t>Terms of Use: existing page covers website/products, solicitation/opt-out, proprietary rights, acceptable use, comments, hyperlinking, iFrames, content liability, privacy, reservation of rights, disclaimers, governing law, force majeure, termination and related provisions. The live page states a last revision of 23 March 2022.</w:t>
      </w:r>
    </w:p>
    <w:p>
      <w:r>
        <w:t>Production rule: do not rewrite legal language casually. Preserve the approved legal copy, improve only layout/readability, and obtain legal/content approval before launch.</w:t>
      </w:r>
    </w:p>
    <w:p>
      <w:pPr>
        <w:pStyle w:val="Heading1"/>
      </w:pPr>
      <w:r>
        <w:t>9. Asset Audit</w:t>
      </w:r>
    </w:p>
    <w:p>
      <w:pPr>
        <w:pStyle w:val="ListBullet"/>
      </w:pPr>
      <w:r>
        <w:t>Brand/logo: AuMDS logo appears in header/footer and should be treated as the primary brand asset.</w:t>
      </w:r>
    </w:p>
    <w:p>
      <w:pPr>
        <w:pStyle w:val="ListBullet"/>
      </w:pPr>
      <w:r>
        <w:t>Loader image: current site includes a loader image asset.</w:t>
      </w:r>
    </w:p>
    <w:p>
      <w:pPr>
        <w:pStyle w:val="ListBullet"/>
      </w:pPr>
      <w:r>
        <w:t>Home visual assets: the live page contains repeated image slots around updates, service cards and business-scale sections.</w:t>
      </w:r>
    </w:p>
    <w:p>
      <w:pPr>
        <w:pStyle w:val="ListBullet"/>
      </w:pPr>
      <w:r>
        <w:t>About visual assets: Process Flow image and multiple Hall of Fame brand images.</w:t>
      </w:r>
    </w:p>
    <w:p>
      <w:pPr>
        <w:pStyle w:val="ListBullet"/>
      </w:pPr>
      <w:r>
        <w:t>Careers visual assets: hero imagery plus an application/pen image asset; role sections include image slots.</w:t>
      </w:r>
    </w:p>
    <w:p>
      <w:pPr>
        <w:pStyle w:val="ListBullet"/>
      </w:pPr>
      <w:r>
        <w:t>Contact visual assets: page image/visual slots plus enquiry interface.</w:t>
      </w:r>
    </w:p>
    <w:p>
      <w:pPr>
        <w:pStyle w:val="ListBullet"/>
      </w:pPr>
      <w:r>
        <w:t>Interactive widget: the live site includes a Team AuMDS chat widget with QR/chat affordance.</w:t>
      </w:r>
    </w:p>
    <w:p>
      <w:pPr>
        <w:pStyle w:val="ListBullet"/>
      </w:pPr>
      <w:r>
        <w:t>Asset quality issue: the crawler exposes several generic “Image” labels, so the redesign should use meaningful alt text, named assets and a centralized asset inventory.</w:t>
      </w:r>
    </w:p>
    <w:p>
      <w:pPr>
        <w:pStyle w:val="Heading1"/>
      </w:pPr>
      <w:r>
        <w:t>10. UX / Content Issues Found</w:t>
      </w:r>
    </w:p>
    <w:p>
      <w:pPr>
        <w:pStyle w:val="ListBullet"/>
      </w:pPr>
      <w:r>
        <w:t>Repeated content is rendered multiple times on several pages, especially navigation and footer blocks.</w:t>
      </w:r>
    </w:p>
    <w:p>
      <w:pPr>
        <w:pStyle w:val="ListBullet"/>
      </w:pPr>
      <w:r>
        <w:t>Service descriptions are long and paragraph-heavy; users need a faster scan path.</w:t>
      </w:r>
    </w:p>
    <w:p>
      <w:pPr>
        <w:pStyle w:val="ListBullet"/>
      </w:pPr>
      <w:r>
        <w:t>Several image assets appear without descriptive labels in the extracted page structure.</w:t>
      </w:r>
    </w:p>
    <w:p>
      <w:pPr>
        <w:pStyle w:val="ListBullet"/>
      </w:pPr>
      <w:r>
        <w:t>The site mixes marketing copy, program highlights, services and legal/contact content without a strong visual hierarchy.</w:t>
      </w:r>
    </w:p>
    <w:p>
      <w:pPr>
        <w:pStyle w:val="ListBullet"/>
      </w:pPr>
      <w:r>
        <w:t>The current value proposition is broad; the redesign should explain the ecosystem concept before listing every service.</w:t>
      </w:r>
    </w:p>
    <w:p>
      <w:pPr>
        <w:pStyle w:val="ListBullet"/>
      </w:pPr>
      <w:r>
        <w:t>CTA language is repeated; one primary action should be dominant: Free Expert Consultation / Start a Conversation.</w:t>
      </w:r>
    </w:p>
    <w:p>
      <w:pPr>
        <w:pStyle w:val="ListBullet"/>
      </w:pPr>
      <w:r>
        <w:t>Legal pages are older than the current 2025 footer date and should be reviewed for currency.</w:t>
      </w:r>
    </w:p>
    <w:p>
      <w:pPr>
        <w:pStyle w:val="ListBullet"/>
      </w:pPr>
      <w:r>
        <w:t>Careers has a very large application form; a staged application flow would improve completion.</w:t>
      </w:r>
    </w:p>
    <w:p>
      <w:pPr>
        <w:pStyle w:val="ListBullet"/>
      </w:pPr>
      <w:r>
        <w:t>Chat widget and newsletter should be retained only if actively monitored and maintained.</w:t>
      </w:r>
    </w:p>
    <w:p>
      <w:pPr>
        <w:pStyle w:val="Heading1"/>
      </w:pPr>
      <w:r>
        <w:t>11. Proposed 3D Redesign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Page</w:t>
            </w:r>
          </w:p>
        </w:tc>
        <w:tc>
          <w:tcPr>
            <w:tcW w:type="dxa" w:w="5112"/>
          </w:tcPr>
          <w:p>
            <w:r>
              <w:t>Proposed experience</w:t>
            </w:r>
          </w:p>
        </w:tc>
      </w:tr>
      <w:tr>
        <w:tc>
          <w:tcPr>
            <w:tcW w:type="dxa" w:w="5112"/>
          </w:tcPr>
          <w:p>
            <w:r>
              <w:t>Home</w:t>
            </w:r>
          </w:p>
        </w:tc>
        <w:tc>
          <w:tcPr>
            <w:tcW w:type="dxa" w:w="5112"/>
          </w:tcPr>
          <w:p>
            <w:r>
              <w:t>Cinematic 3D ecosystem hero → manifesto → capability constellation → Highlitz → services → growth stages → trust/values → consultation CTA.</w:t>
            </w:r>
          </w:p>
        </w:tc>
      </w:tr>
      <w:tr>
        <w:tc>
          <w:tcPr>
            <w:tcW w:type="dxa" w:w="5112"/>
          </w:tcPr>
          <w:p>
            <w:r>
              <w:t>About</w:t>
            </w:r>
          </w:p>
        </w:tc>
        <w:tc>
          <w:tcPr>
            <w:tcW w:type="dxa" w:w="5112"/>
          </w:tcPr>
          <w:p>
            <w:r>
              <w:t>3D/interactive process journey → company story → Hall of Fame/brand wall → timeline → philosophy.</w:t>
            </w:r>
          </w:p>
        </w:tc>
      </w:tr>
      <w:tr>
        <w:tc>
          <w:tcPr>
            <w:tcW w:type="dxa" w:w="5112"/>
          </w:tcPr>
          <w:p>
            <w:r>
              <w:t>Services</w:t>
            </w:r>
          </w:p>
        </w:tc>
        <w:tc>
          <w:tcPr>
            <w:tcW w:type="dxa" w:w="5112"/>
          </w:tcPr>
          <w:p>
            <w:r>
              <w:t>Interactive capability map → service cards → sub-services → proof/case studies → contextual CTA.</w:t>
            </w:r>
          </w:p>
        </w:tc>
      </w:tr>
      <w:tr>
        <w:tc>
          <w:tcPr>
            <w:tcW w:type="dxa" w:w="5112"/>
          </w:tcPr>
          <w:p>
            <w:r>
              <w:t>Careers</w:t>
            </w:r>
          </w:p>
        </w:tc>
        <w:tc>
          <w:tcPr>
            <w:tcW w:type="dxa" w:w="5112"/>
          </w:tcPr>
          <w:p>
            <w:r>
              <w:t>Culture hero → role cards → benefits/learning → hiring process → application wizard.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3D contact scene/map treatment → contact channels → smart enquiry form → consultation CTA.</w:t>
            </w:r>
          </w:p>
        </w:tc>
      </w:tr>
      <w:tr>
        <w:tc>
          <w:tcPr>
            <w:tcW w:type="dxa" w:w="5112"/>
          </w:tcPr>
          <w:p>
            <w:r>
              <w:t>Legal</w:t>
            </w:r>
          </w:p>
        </w:tc>
        <w:tc>
          <w:tcPr>
            <w:tcW w:type="dxa" w:w="5112"/>
          </w:tcPr>
          <w:p>
            <w:r>
              <w:t>Clean, readable legal layout with consistent header/footer.</w:t>
            </w:r>
          </w:p>
        </w:tc>
      </w:tr>
    </w:tbl>
    <w:p>
      <w:pPr>
        <w:pStyle w:val="Heading1"/>
      </w:pPr>
      <w:r>
        <w:t>12. 3D / Interaction Specification</w:t>
      </w:r>
    </w:p>
    <w:p>
      <w:pPr>
        <w:pStyle w:val="ListBullet"/>
      </w:pPr>
      <w:r>
        <w:t>Hero: CSS 3D sphere with multiple orbit rings, floating capability nodes and pointer-controlled perspective.</w:t>
      </w:r>
    </w:p>
    <w:p>
      <w:pPr>
        <w:pStyle w:val="ListBullet"/>
      </w:pPr>
      <w:r>
        <w:t>Service cards: subtle 3D tilt on desktop, tap-friendly interaction on mobile.</w:t>
      </w:r>
    </w:p>
    <w:p>
      <w:pPr>
        <w:pStyle w:val="ListBullet"/>
      </w:pPr>
      <w:r>
        <w:t>Ecosystem map: central AuMDS node with clickable connected capabilities and dynamic detail panel.</w:t>
      </w:r>
    </w:p>
    <w:p>
      <w:pPr>
        <w:pStyle w:val="ListBullet"/>
      </w:pPr>
      <w:r>
        <w:t>Motion: scroll reveal, slow ambient orbital motion, marquee, magnetic-style CTA movement and hover elevation.</w:t>
      </w:r>
    </w:p>
    <w:p>
      <w:pPr>
        <w:pStyle w:val="ListBullet"/>
      </w:pPr>
      <w:r>
        <w:t>Theme: warm ivory + deep forest green + restrained gold accents, preserving a premium corporate feel.</w:t>
      </w:r>
    </w:p>
    <w:p>
      <w:pPr>
        <w:pStyle w:val="ListBullet"/>
      </w:pPr>
      <w:r>
        <w:t>Responsive: desktop, tablet and mobile layouts with touch-friendly controls and reduced-motion fallback.</w:t>
      </w:r>
    </w:p>
    <w:p>
      <w:pPr>
        <w:pStyle w:val="ListBullet"/>
      </w:pPr>
      <w:r>
        <w:t>Performance: avoid heavy 3D libraries unless necessary; prefer CSS/canvas for the first production iteration.</w:t>
      </w:r>
    </w:p>
    <w:p>
      <w:pPr>
        <w:pStyle w:val="Heading1"/>
      </w:pPr>
      <w:r>
        <w:t>13. Mentor Presentation Checklist</w:t>
      </w:r>
    </w:p>
    <w:p>
      <w:pPr>
        <w:pStyle w:val="ListNumber"/>
      </w:pPr>
      <w:r>
        <w:t>Show the live reference audit first: what exists, what is being preserved, what is being improved.</w:t>
      </w:r>
    </w:p>
    <w:p>
      <w:pPr>
        <w:pStyle w:val="ListNumber"/>
      </w:pPr>
      <w:r>
        <w:t>Open the redesigned Home page and demonstrate the 3D hero by moving the mouse.</w:t>
      </w:r>
    </w:p>
    <w:p>
      <w:pPr>
        <w:pStyle w:val="ListNumber"/>
      </w:pPr>
      <w:r>
        <w:t>Open Services and click the ecosystem nodes.</w:t>
      </w:r>
    </w:p>
    <w:p>
      <w:pPr>
        <w:pStyle w:val="ListNumber"/>
      </w:pPr>
      <w:r>
        <w:t>Open a Highlitz case card and show the modal.</w:t>
      </w:r>
    </w:p>
    <w:p>
      <w:pPr>
        <w:pStyle w:val="ListNumber"/>
      </w:pPr>
      <w:r>
        <w:t>Switch dark/light mode.</w:t>
      </w:r>
    </w:p>
    <w:p>
      <w:pPr>
        <w:pStyle w:val="ListNumber"/>
      </w:pPr>
      <w:r>
        <w:t>Resize to mobile and demonstrate the menu and responsive layout.</w:t>
      </w:r>
    </w:p>
    <w:p>
      <w:pPr>
        <w:pStyle w:val="ListNumber"/>
      </w:pPr>
      <w:r>
        <w:t>Show the Content Audit document as evidence that the redesign is based on a complete site inventory.</w:t>
      </w:r>
    </w:p>
    <w:p>
      <w:pPr>
        <w:pStyle w:val="ListNumber"/>
      </w:pPr>
      <w:r>
        <w:t>Before final production, replace placeholder visual treatments with approved company photography, project screenshots and official brand assets.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