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10</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12</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15</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16</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17</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8</w:t>
      </w:r>
    </w:p>
    <w:p xmlns:wp14="http://schemas.microsoft.com/office/word/2010/wordml" w14:paraId="1EB21F04" wp14:textId="77777777">
      <w:pPr>
        <w:pStyle w:val="BodyText"/>
      </w:pPr>
      <w:r>
        <w:t>Слика 5.1. TO-BE архитектура — додат observability слој ....................... 10</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12</w:t>
      </w:r>
    </w:p>
    <w:p xmlns:wp14="http://schemas.microsoft.com/office/word/2010/wordml" w14:paraId="301065E6" wp14:textId="77777777">
      <w:pPr>
        <w:pStyle w:val="BodyText"/>
      </w:pPr>
      <w:r>
        <w:t>Табела 6.2. Поређење система пре и после надоградње ........................... 14</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pPr>
      <w:r>
        <w:t>[ПОПУНИ: убацити слику 1.1 — screenshot почетне/главне стране Travel Planner апликације (нпр. преглед плана путовања са дестинацијама и календаром), ради визуелног увода читаоца у изглед и функционалност апликације пре описа архитектуре.]</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