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1</w:t>
            </w:r>
            <w:r w:rsidRPr="4BF58BAE" w:rsidR="36D4B2C3">
              <w:rPr>
                <w:rFonts w:ascii="Arial" w:hAnsi="Arial"/>
                <w:color w:val="auto"/>
                <w:sz w:val="18"/>
                <w:szCs w:val="18"/>
                <w:lang w:val="sr-Cyrl-RS"/>
              </w:rPr>
              <w:t>9</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5</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6</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8</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10</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12</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15</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16</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17</w:t>
      </w:r>
      <w:r/>
      <w:r/>
      <w:r w:rsidR="4BF58BAE">
        <w:rPr/>
      </w:r>
      <w:r/>
      <w:r/>
      <w:r/>
      <w:r/>
      <w:r w:rsidR="4BF58BAE">
        <w:rPr/>
      </w:r>
      <w:r/>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xmlns:wp14="http://schemas.microsoft.com/office/word/2010/wordml" w14:paraId="48B0C548" wp14:textId="77777777">
      <w:pPr>
        <w:pStyle w:val="BodyText"/>
      </w:pPr>
      <w:r>
        <w:t>Слика 4.1. Архитектура система пре надоградње ................................ 8</w:t>
      </w:r>
    </w:p>
    <w:p xmlns:wp14="http://schemas.microsoft.com/office/word/2010/wordml" w14:paraId="1EB21F04" wp14:textId="77777777">
      <w:pPr>
        <w:pStyle w:val="BodyText"/>
      </w:pPr>
      <w:r>
        <w:t>Слика 5.1. TO-BE архитектура — додат observability слој ....................... 10</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12</w:t>
      </w:r>
    </w:p>
    <w:p xmlns:wp14="http://schemas.microsoft.com/office/word/2010/wordml" w14:paraId="301065E6" wp14:textId="77777777">
      <w:pPr>
        <w:pStyle w:val="BodyText"/>
      </w:pPr>
      <w:r>
        <w:t>Табела 6.2. Поређење система пре и после надоградње ........................... 14</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w:pPr>
        <w:pStyle w:val="BodyText"/>
      </w:pPr>
      <w:r>
        <w:t>[ПОПУНИ: убацити слику 1.1 — screenshot почетне/главне стране Travel Planner апликације (нпр. преглед плана путовања са дестинацијама и календаром), ради визуелног увода читаоца у изглед и функционалност апликације пре описа архитектуре.]</w:t>
      </w:r>
    </w:p>
    <w:p>
      <w:pPr>
        <w:pStyle w:val="BodyText"/>
      </w:pPr>
      <w:r>
        <w:t>[ПОПУНИ: убацити слику 1.2 — screenshot екрана за дељење плана путовања (генерисани код и/или QR код), ради приказа SharingService функционалности описане у поглављу 4.]</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[4] (stateless сервиси за Gateway/AuthService/TripService, stateful за SharingService), уз Entity Framework Core 8 за приступ подацима, YARP (Yet Another Reverse Proxy) [5]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[2],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[10].</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[9] за метрике (Collector излаже Prometheus-компатибилан /metrics endpoint који Prometheus периодично scrape-ује), Grafana Tempo [6] за дистрибуирано праћење захтева (trace-ове), и Grafana Loki [7]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 [3].</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 [8].</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w:pPr>
        <w:pStyle w:val="BodyText"/>
      </w:pPr>
      <w:r>
        <w:t>[ПОПУНИ: убацити слику 4.2 — screenshot Service Fabric Explorer-а (localhost:19080) са приказаним fabric:/TravelPlanner стаблом, сва 4 сервиса зелена (Healthy/Ready), као доказ да AS-IS архитектура описана изнад стварно постоји и ради на локалном кластеру.]</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w:pPr>
        <w:pStyle w:val="BodyText"/>
      </w:pPr>
      <w:r>
        <w:t>TO-BE ("to be" — стање које треба да буде) означава циљну архитектуру система НАКОН надоградње описане у овом раду, за разлику од AS-IS архитектуре (поглавље 4), која описује стање ПРЕ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BodyText"/>
      </w:pPr>
      <w:r>
        <w:t>[ПОПУНИ: убацити слику 5.4 — screenshot browser-а са отвореним http://localhost:8141/health/ready, приказан сирови JSON одговор са статусом сва три downstream сервиса, ради доказа да је структурисан одговор описан изнад стваран.]</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pPr>
      <w:r>
        <w:t>[ПОПУНИ: убацити слику 5.2 — screenshot Grafana dashboard-а „Travel Planner - Overview” dok je sistem pokrenut, sa vidljivim RED metrikama, resursima i log stream panelom.]</w:t>
      </w:r>
    </w:p>
    <w:p>
      <w:pPr>
        <w:pStyle w:val="BodyText"/>
      </w:pPr>
      <w:r>
        <w:t>[ПОПУНИ: убацити слику 5.3 — screenshot Grafana Explore -&gt; Tempo -&gt; waterfall прикaз trace-а из Сценарија 1 (Gateway -&gt; SharingService -&gt; TripService, са видљивих 9 SQL child span-ова), ради визуелног доказа дистрибуираног праћења захтева описаног изнад.]</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pPr>
      <w:r>
        <w:t>[ПОПУНИ: убацити слику 6.1 — screenshot Visual Studio Test Explorer-а са свих 21 тестом зеленим (passed), ради директног визуелног доказа резултата из Табеле 6.1.]</w:t>
      </w:r>
    </w:p>
    <w:p w14:paraId="00A92C83" w14:textId="77777777">
      <w:pPr>
        <w:pStyle w:val="Naslov1nivo"/>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Naslov2nivo"/>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BodyText"/>
      </w:pPr>
      <w:r>
        <w:t>[ПОПУНИ: убацити слику 6.2 — screenshot Grafana Explore -&gt; Loki -&gt; log ред овог истог захтева, са видљивим "traceid" пољем, ради приказа log-trace корелације описане изнад (упарити са Сликом 5.3, исти trace).]</w:t>
      </w:r>
    </w:p>
    <w:p w14:paraId="0DEF02D8" w14:textId="77777777">
      <w:pPr>
        <w:pStyle w:val="Naslov2nivo"/>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pPr>
        <w:pStyle w:val="BodyText"/>
      </w:pPr>
      <w:r>
        <w:t>[ОПЦИОНО - ПОПУНИ: убацити слику 6.3 — screenshot одговора /health/ready БАШ у тренутку квара, са "trip-service": "Unhealthy". Ово захтева тајминг уживо (позвати /health/ready одмах након рестарта, пре опоравка за ~7 секунди) - прескочи ако је незгодно да ухватиш тачан тренутак.]</w:t>
      </w:r>
    </w:p>
    <w:p w14:paraId="284CFE08" w14:textId="77777777">
      <w:pPr>
        <w:pStyle w:val="Naslov2nivo"/>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BodyText"/>
      </w:pPr>
      <w:r>
        <w:t>[ПОПУНИ: убацити слику 6.4 — screenshot терминала са k6 излазом (780 захтева, 0% неуспешних, p95 латенција), ради доказа резултата Сценарија 3 наведеног изнад.]</w:t>
      </w:r>
    </w:p>
    <w:p w14:paraId="5B503566" w14:textId="77777777">
      <w:pPr>
        <w:pStyle w:val="Naslov2nivo"/>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pPr>
        <w:pStyle w:val="BodyText"/>
      </w:pPr>
      <w:r>
        <w:t>[ОПЦИОНО - ПОПУНИ: убацити слику 6.5 — screenshot Grafana Explore -&gt; Tempo waterfall-а за овај trace, са видљивим тачним трајањем SELECT (14.5ms) наспрам укупног захтева (23.9s), ради визуелног доказа да tracing прецизно локализује узрок.]</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